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400" w:after="0"/>
      </w:pPr>
      <w:r>
        <w:t xml:space="preserve"/>
      </w:r>
    </w:p>
    <w:p>
      <w:pPr>
        <w:spacing w:before="0" w:after="80"/>
        <w:jc w:val="center"/>
      </w:pPr>
      <w:r>
        <w:rPr>
          <w:rFonts w:ascii="Arial" w:cs="Arial" w:eastAsia="Arial" w:hAnsi="Arial"/>
          <w:b/>
          <w:bCs/>
          <w:color w:val="C9A84C"/>
          <w:sz w:val="20"/>
          <w:szCs w:val="20"/>
        </w:rPr>
        <w:t xml:space="preserve">⚔ THE SECURITY GUILD ⚔</w:t>
      </w:r>
    </w:p>
    <w:p>
      <w:pPr>
        <w:spacing w:before="0" w:after="200"/>
        <w:jc w:val="center"/>
      </w:pPr>
      <w:r>
        <w:rPr>
          <w:rFonts w:ascii="Arial" w:cs="Arial" w:eastAsia="Arial" w:hAnsi="Arial"/>
          <w:b/>
          <w:bCs/>
          <w:color w:val="5B2D8E"/>
          <w:sz w:val="40"/>
          <w:szCs w:val="40"/>
        </w:rPr>
        <w:t xml:space="preserve">Quick Start Guide</w:t>
      </w:r>
    </w:p>
    <w:p>
      <w:pPr>
        <w:spacing w:before="0" w:after="400"/>
        <w:jc w:val="center"/>
      </w:pPr>
      <w:r>
        <w:rPr>
          <w:rFonts w:ascii="Arial" w:cs="Arial" w:eastAsia="Arial" w:hAnsi="Arial"/>
          <w:color w:val="555555"/>
          <w:sz w:val="24"/>
          <w:szCs w:val="24"/>
        </w:rPr>
        <w:t xml:space="preserve">You just downloaded the toolkit. Here's what to do next.</w:t>
      </w:r>
    </w:p>
    <w:p>
      <w:pPr>
        <w:spacing w:before="80" w:after="8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This guide is your roadmap for the first seven days. You don't need to read the whole toolkit before you start — you need to read this, then the specific documents called out in each step.</w:t>
      </w:r>
    </w:p>
    <w:p>
      <w:pPr>
        <w:spacing w:before="8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"/>
        <w:gridCol w:w="9060"/>
      </w:tblGrid>
      <w:tr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9A84C" w:val="clear"/>
            <w:tcMar>
              <w:top w:type="dxa" w:w="80"/>
              <w:bottom w:type="dxa" w:w="80"/>
            </w:tcMar>
          </w:tcPr>
          <w:p>
            <w:pPr>
              <w:spacing w:before="80" w:after="8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/>
            </w:r>
          </w:p>
        </w:tc>
        <w:tc>
          <w:tcPr>
            <w:tcW w:type="dxa" w:w="90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8E1" w:val="clear"/>
            <w:tcMar>
              <w:top w:type="dxa" w:w="120"/>
              <w:bottom w:type="dxa" w:w="120"/>
            </w:tcMar>
          </w:tcPr>
          <w:p>
            <w:pPr>
              <w:spacing w:before="0" w:after="60"/>
            </w:pPr>
            <w:r>
              <w:rPr>
                <w:rFonts w:ascii="Arial" w:cs="Arial" w:eastAsia="Arial" w:hAnsi="Arial"/>
                <w:b/>
                <w:bCs/>
                <w:color w:val="C9A84C"/>
                <w:sz w:val="22"/>
                <w:szCs w:val="22"/>
              </w:rPr>
              <w:t xml:space="preserve">HOW LONG WILL THIS TAKE?</w:t>
            </w:r>
          </w:p>
          <w:p>
            <w:pPr>
              <w:spacing w:before="0" w:after="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>Day 1: 30 minutes to orient yourself. Days 2–5: ~1 hour to customize your pitch and identify champions. Day 7: Your first real conversation. The 12-week program doesn't start until you've had that conversation.</w:t>
            </w:r>
          </w:p>
        </w:tc>
      </w:tr>
    </w:tbl>
    <w:p>
      <w:pPr>
        <w:spacing w:before="200" w:after="0"/>
      </w:pPr>
      <w:r>
        <w:t xml:space="preserve"/>
      </w:r>
    </w:p>
    <w:p>
      <w:pPr>
        <w:pStyle w:val="Heading1"/>
        <w:pBdr>
          <w:bottom w:val="single" w:color="5B2D8E" w:sz="6" w:space="1"/>
        </w:pBdr>
        <w:spacing w:before="320" w:after="160"/>
      </w:pPr>
      <w:r>
        <w:rPr>
          <w:rFonts w:ascii="Arial" w:cs="Arial" w:eastAsia="Arial" w:hAnsi="Arial"/>
          <w:b/>
          <w:bCs/>
          <w:color w:val="5B2D8E"/>
          <w:sz w:val="32"/>
          <w:szCs w:val="32"/>
        </w:rPr>
        <w:t xml:space="preserve">Before You Start: What's In This Toolkit</w:t>
      </w:r>
    </w:p>
    <w:p>
      <w:pPr>
        <w:spacing w:before="80" w:after="8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Here's the full toolkit at a glance, organized by when you'll need each piece:</w:t>
      </w:r>
    </w:p>
    <w:p>
      <w:pPr>
        <w:spacing w:before="8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3160"/>
        <w:gridCol w:w="4800"/>
      </w:tblGrid>
      <w:tr>
        <w:trPr>
          <w:tblHeader/>
        </w:trP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5B2D8E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When</w:t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5B2D8E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Document</w:t>
            </w:r>
          </w:p>
        </w:tc>
        <w:tc>
          <w:tcPr>
            <w:tcW w:type="dxa" w:w="4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5B2D8E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What It's For</w:t>
            </w:r>
          </w:p>
        </w:tc>
      </w:tr>
      <w:t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Day 1</w:t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Quick Start Guide (this doc)</w:t>
            </w:r>
          </w:p>
        </w:tc>
        <w:tc>
          <w:tcPr>
            <w:tcW w:type="dxa" w:w="4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Start here. Read it first.</w:t>
            </w:r>
          </w:p>
        </w:tc>
      </w:tr>
      <w:t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Day 1</w:t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Campaign Overview</w:t>
            </w:r>
          </w:p>
        </w:tc>
        <w:tc>
          <w:tcPr>
            <w:tcW w:type="dxa" w:w="4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Understand the full program before talking to anyone about it.</w:t>
            </w:r>
          </w:p>
        </w:tc>
      </w:tr>
      <w:t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Day 2–3</w:t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Customization Guide</w:t>
            </w:r>
          </w:p>
        </w:tc>
        <w:tc>
          <w:tcPr>
            <w:tcW w:type="dxa" w:w="4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Adapt all materials for your org before using them.</w:t>
            </w:r>
          </w:p>
        </w:tc>
      </w:tr>
      <w:t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Day 3–4</w:t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Leadership Pitch</w:t>
            </w:r>
          </w:p>
        </w:tc>
        <w:tc>
          <w:tcPr>
            <w:tcW w:type="dxa" w:w="4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Get approval. Customize first (see Customization Guide).</w:t>
            </w:r>
          </w:p>
        </w:tc>
      </w:tr>
      <w:t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Day 4–5</w:t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Champion Traits Guide</w:t>
            </w:r>
          </w:p>
        </w:tc>
        <w:tc>
          <w:tcPr>
            <w:tcW w:type="dxa" w:w="4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Identify your 3–5 champion candidates.</w:t>
            </w:r>
          </w:p>
        </w:tc>
      </w:tr>
      <w:t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Day 5–7</w:t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Guild Master Email Templates</w:t>
            </w:r>
          </w:p>
        </w:tc>
        <w:tc>
          <w:tcPr>
            <w:tcW w:type="dxa" w:w="4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Use Template A to reach out to each candidate individually.</w:t>
            </w:r>
          </w:p>
        </w:tc>
      </w:tr>
      <w:t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Week 2</w:t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Session Zero Agenda + Script</w:t>
            </w:r>
          </w:p>
        </w:tc>
        <w:tc>
          <w:tcPr>
            <w:tcW w:type="dxa" w:w="4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Run the kickoff meeting once candidates say yes.</w:t>
            </w:r>
          </w:p>
        </w:tc>
      </w:tr>
      <w:t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Week 2</w:t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Session Zero Checklist</w:t>
            </w:r>
          </w:p>
        </w:tc>
        <w:tc>
          <w:tcPr>
            <w:tcW w:type="dxa" w:w="4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Run alongside the agenda — prep, day-of, and follow-up.</w:t>
            </w:r>
          </w:p>
        </w:tc>
      </w:tr>
      <w:t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Week 2</w:t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Starter Quest Pack</w:t>
            </w:r>
          </w:p>
        </w:tc>
        <w:tc>
          <w:tcPr>
            <w:tcW w:type="dxa" w:w="4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Hand out at Session Zero.</w:t>
            </w:r>
          </w:p>
        </w:tc>
      </w:tr>
      <w:t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Week 2+</w:t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Week-by-Week GM Guide</w:t>
            </w:r>
          </w:p>
        </w:tc>
        <w:tc>
          <w:tcPr>
            <w:tcW w:type="dxa" w:w="4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Your weekly operations manual for the full 12 weeks.</w:t>
            </w:r>
          </w:p>
        </w:tc>
      </w:tr>
      <w:t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Week 2+</w:t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Weekly Quest Packs (Weeks 2–12)</w:t>
            </w:r>
          </w:p>
        </w:tc>
        <w:tc>
          <w:tcPr>
            <w:tcW w:type="dxa" w:w="4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Send each Monday. One per week.</w:t>
            </w:r>
          </w:p>
        </w:tc>
      </w:tr>
      <w:t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Ongoing</w:t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Guild Tracker (spreadsheet)</w:t>
            </w:r>
          </w:p>
        </w:tc>
        <w:tc>
          <w:tcPr>
            <w:tcW w:type="dxa" w:w="4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Log XP, track trial results, capture metrics.</w:t>
            </w:r>
          </w:p>
        </w:tc>
      </w:tr>
      <w:t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As needed</w:t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Red Team Trials: Implementation Guide</w:t>
            </w:r>
          </w:p>
        </w:tc>
        <w:tc>
          <w:tcPr>
            <w:tcW w:type="dxa" w:w="4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Set up each trial 2–3 days before it runs.</w:t>
            </w:r>
          </w:p>
        </w:tc>
      </w:tr>
      <w:t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Week 11–12</w:t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Final Stand Facilitator Guide</w:t>
            </w:r>
          </w:p>
        </w:tc>
        <w:tc>
          <w:tcPr>
            <w:tcW w:type="dxa" w:w="4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GM-only. Read before the tabletop exercise.</w:t>
            </w:r>
          </w:p>
        </w:tc>
      </w:tr>
      <w:t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Week 12+</w:t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End-of-Program Report Template</w:t>
            </w:r>
          </w:p>
        </w:tc>
        <w:tc>
          <w:tcPr>
            <w:tcW w:type="dxa" w:w="4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Present results to leadership after the program ends.</w:t>
            </w:r>
          </w:p>
        </w:tc>
      </w:tr>
      <w:t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Week 12+</w:t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What's Next / Cohort 2 Kit</w:t>
            </w:r>
          </w:p>
        </w:tc>
        <w:tc>
          <w:tcPr>
            <w:tcW w:type="dxa" w:w="4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Sustain culture and recruit the next cohort.</w:t>
            </w:r>
          </w:p>
        </w:tc>
      </w:tr>
    </w:tbl>
    <w:p>
      <w:pPr>
        <w:spacing w:before="200" w:after="0"/>
      </w:pPr>
      <w:r>
        <w:t xml:space="preserve"/>
      </w:r>
    </w:p>
    <w:p>
      <w:pPr>
        <w:pStyle w:val="Heading1"/>
        <w:pBdr>
          <w:bottom w:val="single" w:color="5B2D8E" w:sz="6" w:space="1"/>
        </w:pBdr>
        <w:spacing w:before="320" w:after="160"/>
      </w:pPr>
      <w:r>
        <w:rPr>
          <w:rFonts w:ascii="Arial" w:cs="Arial" w:eastAsia="Arial" w:hAnsi="Arial"/>
          <w:b/>
          <w:bCs/>
          <w:color w:val="5B2D8E"/>
          <w:sz w:val="32"/>
          <w:szCs w:val="32"/>
        </w:rPr>
        <w:t xml:space="preserve">Your First 7 Days</w:t>
      </w:r>
    </w:p>
    <w:p>
      <w:pPr>
        <w:spacing w:before="8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"/>
        <w:gridCol w:w="9000"/>
      </w:tblGrid>
      <w:tr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5276" w:val="clear"/>
            <w:tcMar>
              <w:top w:type="dxa" w:w="160"/>
              <w:bottom w:type="dxa" w:w="160"/>
            </w:tcMar>
          </w:tcPr>
          <w:p>
            <w:pPr>
              <w:spacing w:before="80" w:after="8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/>
            </w:r>
          </w:p>
        </w:tc>
        <w:tc>
          <w:tcPr>
            <w:tcW w:type="dxa" w:w="9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BF5FB" w:val="clear"/>
            <w:tcMar>
              <w:top w:type="dxa" w:w="160"/>
              <w:bottom w:type="dxa" w:w="160"/>
            </w:tcMar>
          </w:tcPr>
          <w:p>
            <w:pPr>
              <w:spacing w:before="0" w:after="80"/>
            </w:pPr>
            <w:r>
              <w:rPr>
                <w:rFonts w:ascii="Arial" w:cs="Arial" w:eastAsia="Arial" w:hAnsi="Arial"/>
                <w:b/>
                <w:bCs/>
                <w:color w:val="1A5276"/>
                <w:sz w:val="20"/>
                <w:szCs w:val="20"/>
              </w:rPr>
              <w:t xml:space="preserve">STEP 1  </w:t>
            </w:r>
            <w:r>
              <w:rPr>
                <w:rFonts w:ascii="Arial" w:cs="Arial" w:eastAsia="Arial" w:hAnsi="Arial"/>
                <w:b/>
                <w:bCs/>
                <w:color w:val="2D2D2D"/>
                <w:sz w:val="24"/>
                <w:szCs w:val="24"/>
              </w:rPr>
              <w:t xml:space="preserve">Read the Campaign Overview (30 min)</w:t>
            </w:r>
          </w:p>
          <w:p>
            <w:pPr>
              <w:spacing w:before="80" w:after="8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>Open campaign_overview.docx before you do anything else. You need to understand the full arc of the program before you pitch it, recruit for it, or run it. Pay particular attention to: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>The design principles — especially voluntary &gt; mandatory and no fear-based testing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>The quest system and rank progression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>The red team trial schedule so you understand the pacing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>What The Final Stand actually is — leadership needs to know this is coming</w:t>
            </w:r>
          </w:p>
          <w:p>
            <w:pPr>
              <w:spacing w:before="60" w:after="0"/>
            </w:pPr>
            <w: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300"/>
              <w:gridCol w:w="9060"/>
            </w:tblGrid>
            <w:tr>
              <w:tc>
                <w:tcPr>
                  <w:tcW w:type="dxa" w:w="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C9A84C" w:val="clear"/>
                  <w:tcMar>
                    <w:top w:type="dxa" w:w="80"/>
                    <w:bottom w:type="dxa" w:w="80"/>
                  </w:tcMar>
                </w:tcPr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color w:val="2D2D2D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type="dxa" w:w="90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FF8E1" w:val="clear"/>
                  <w:tcMar>
                    <w:top w:type="dxa" w:w="120"/>
                    <w:bottom w:type="dxa" w:w="120"/>
                  </w:tcMar>
                </w:tcPr>
                <w:p>
                  <w:pPr>
                    <w:spacing w:before="0" w:after="6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C9A84C"/>
                      <w:sz w:val="22"/>
                      <w:szCs w:val="22"/>
                    </w:rPr>
                    <w:t xml:space="preserve">IF YOU SKIP THIS STEP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Arial" w:cs="Arial" w:eastAsia="Arial" w:hAnsi="Arial"/>
                      <w:color w:val="2D2D2D"/>
                      <w:sz w:val="22"/>
                      <w:szCs w:val="22"/>
                    </w:rPr>
                    <w:t xml:space="preserve">You'll pitch the program in a way that undersells it, recruit the wrong people, or run into problems during trials that the overview would have prevented. It's 30 minutes. Read it.</w:t>
                  </w:r>
                </w:p>
              </w:tc>
            </w:tr>
          </w:tbl>
          <w:p/>
        </w:tc>
      </w:tr>
    </w:tbl>
    <w:p>
      <w:pPr>
        <w:spacing w:before="12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"/>
        <w:gridCol w:w="9000"/>
      </w:tblGrid>
      <w:tr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E8449" w:val="clear"/>
            <w:tcMar>
              <w:top w:type="dxa" w:w="160"/>
              <w:bottom w:type="dxa" w:w="160"/>
            </w:tcMar>
          </w:tcPr>
          <w:p>
            <w:pPr>
              <w:spacing w:before="80" w:after="8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/>
            </w:r>
          </w:p>
        </w:tc>
        <w:tc>
          <w:tcPr>
            <w:tcW w:type="dxa" w:w="9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AFAF1" w:val="clear"/>
            <w:tcMar>
              <w:top w:type="dxa" w:w="160"/>
              <w:bottom w:type="dxa" w:w="160"/>
            </w:tcMar>
          </w:tcPr>
          <w:p>
            <w:pPr>
              <w:spacing w:before="0" w:after="80"/>
            </w:pPr>
            <w:r>
              <w:rPr>
                <w:rFonts w:ascii="Arial" w:cs="Arial" w:eastAsia="Arial" w:hAnsi="Arial"/>
                <w:b/>
                <w:bCs/>
                <w:color w:val="1E8449"/>
                <w:sz w:val="20"/>
                <w:szCs w:val="20"/>
              </w:rPr>
              <w:t xml:space="preserve">STEP 2  </w:t>
            </w:r>
            <w:r>
              <w:rPr>
                <w:rFonts w:ascii="Arial" w:cs="Arial" w:eastAsia="Arial" w:hAnsi="Arial"/>
                <w:b/>
                <w:bCs/>
                <w:color w:val="2D2D2D"/>
                <w:sz w:val="24"/>
                <w:szCs w:val="24"/>
              </w:rPr>
              <w:t xml:space="preserve">Customize for Your Organization (1 hour)</w:t>
            </w:r>
          </w:p>
          <w:p>
            <w:pPr>
              <w:spacing w:before="80" w:after="8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>Open the Customization Guide and work through it before touching any other document. The toolkit was built at a K-12 school in New Orleans — the examples, tool names, and breach references need to match your context before anything gets 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>The Customization Guide tells you exactly which documents need changes and where to find the placeholders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>Estimated time: 45–60 minutes for a complete customization pass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>You can run the program on partially customized materials — but customize the Leadership Pitch and Session Zero Script first</w:t>
            </w:r>
          </w:p>
          <w:p>
            <w:pPr>
              <w:spacing w:before="60" w:after="0"/>
            </w:pPr>
            <w:r>
              <w:t xml:space="preserve"/>
            </w:r>
          </w:p>
          <w:p>
            <w:pPr>
              <w:spacing w:before="80" w:after="80"/>
            </w:pPr>
            <w:r>
              <w:rPr>
                <w:rFonts w:ascii="Arial" w:cs="Arial" w:eastAsia="Arial" w:hAnsi="Arial"/>
                <w:b/>
                <w:bCs/>
                <w:color w:val="2D2D2D"/>
                <w:sz w:val="22"/>
                <w:szCs w:val="22"/>
              </w:rPr>
              <w:t xml:space="preserve">Priority order if you're short on time: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>1. Leadership Pitch — this is what gets you permission to run the program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>2. Session Zero Script — this is what your champions hear first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>3. Red Team trial emails — these need your org's tool names to be believable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>4. Everything else — before it's needed, not all at once</w:t>
            </w:r>
          </w:p>
        </w:tc>
      </w:tr>
    </w:tbl>
    <w:p>
      <w:pPr>
        <w:spacing w:before="12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"/>
        <w:gridCol w:w="9000"/>
      </w:tblGrid>
      <w:tr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7D6608" w:val="clear"/>
            <w:tcMar>
              <w:top w:type="dxa" w:w="160"/>
              <w:bottom w:type="dxa" w:w="160"/>
            </w:tcMar>
          </w:tcPr>
          <w:p>
            <w:pPr>
              <w:spacing w:before="80" w:after="8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/>
            </w:r>
          </w:p>
        </w:tc>
        <w:tc>
          <w:tcPr>
            <w:tcW w:type="dxa" w:w="9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EF9E7" w:val="clear"/>
            <w:tcMar>
              <w:top w:type="dxa" w:w="160"/>
              <w:bottom w:type="dxa" w:w="160"/>
            </w:tcMar>
          </w:tcPr>
          <w:p>
            <w:pPr>
              <w:spacing w:before="0" w:after="80"/>
            </w:pPr>
            <w:r>
              <w:rPr>
                <w:rFonts w:ascii="Arial" w:cs="Arial" w:eastAsia="Arial" w:hAnsi="Arial"/>
                <w:b/>
                <w:bCs/>
                <w:color w:val="7D6608"/>
                <w:sz w:val="20"/>
                <w:szCs w:val="20"/>
              </w:rPr>
              <w:t xml:space="preserve">STEP 3  </w:t>
            </w:r>
            <w:r>
              <w:rPr>
                <w:rFonts w:ascii="Arial" w:cs="Arial" w:eastAsia="Arial" w:hAnsi="Arial"/>
                <w:b/>
                <w:bCs/>
                <w:color w:val="2D2D2D"/>
                <w:sz w:val="24"/>
                <w:szCs w:val="24"/>
              </w:rPr>
              <w:t xml:space="preserve">Get Leadership Buy-In (Day 3–4)</w:t>
            </w:r>
          </w:p>
          <w:p>
            <w:pPr>
              <w:spacing w:before="80" w:after="8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>Open guild_master_email_templates.docx and use the Leadership Pitch email to request a 15-minute conversation, then present leadership_pitch.docx. The ask is small: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>Permission to approach 3–5 staff members about volunteering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>~$100–150 for snacks and small gift cards over 12 weeks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>2–3 minutes at staff meetings occasionally to recognize milestones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>90 minutes of leadership time for The Final Stand tabletop exercise</w:t>
            </w:r>
          </w:p>
          <w:p>
            <w:pPr>
              <w:spacing w:before="60" w:after="0"/>
            </w:pPr>
            <w: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300"/>
              <w:gridCol w:w="9060"/>
            </w:tblGrid>
            <w:tr>
              <w:tc>
                <w:tcPr>
                  <w:tcW w:type="dxa" w:w="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5B2D8E" w:val="clear"/>
                  <w:tcMar>
                    <w:top w:type="dxa" w:w="80"/>
                    <w:bottom w:type="dxa" w:w="80"/>
                  </w:tcMar>
                </w:tcPr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color w:val="2D2D2D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type="dxa" w:w="90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EDE7F6" w:val="clear"/>
                  <w:tcMar>
                    <w:top w:type="dxa" w:w="120"/>
                    <w:bottom w:type="dxa" w:w="120"/>
                  </w:tcMar>
                </w:tcPr>
                <w:p>
                  <w:pPr>
                    <w:spacing w:before="0" w:after="6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5B2D8E"/>
                      <w:sz w:val="22"/>
                      <w:szCs w:val="22"/>
                    </w:rPr>
                    <w:t xml:space="preserve">WHAT TO EXPECT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Arial" w:cs="Arial" w:eastAsia="Arial" w:hAnsi="Arial"/>
                      <w:color w:val="2D2D2D"/>
                      <w:sz w:val="22"/>
                      <w:szCs w:val="22"/>
                    </w:rPr>
                    <w:t xml:space="preserve">Most leadership approvals happen in one conversation. The most common objection is time — answer it by emphasizing that champions work independently and the GM workload is ~1–2 hours per week once the program is running.</w:t>
                  </w:r>
                </w:p>
              </w:tc>
            </w:tr>
          </w:tbl>
          <w:p/>
        </w:tc>
      </w:tr>
    </w:tbl>
    <w:p>
      <w:pPr>
        <w:spacing w:before="12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"/>
        <w:gridCol w:w="9000"/>
      </w:tblGrid>
      <w:tr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5B2D8E" w:val="clear"/>
            <w:tcMar>
              <w:top w:type="dxa" w:w="160"/>
              <w:bottom w:type="dxa" w:w="160"/>
            </w:tcMar>
          </w:tcPr>
          <w:p>
            <w:pPr>
              <w:spacing w:before="80" w:after="8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/>
            </w:r>
          </w:p>
        </w:tc>
        <w:tc>
          <w:tcPr>
            <w:tcW w:type="dxa" w:w="9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DE7F6" w:val="clear"/>
            <w:tcMar>
              <w:top w:type="dxa" w:w="160"/>
              <w:bottom w:type="dxa" w:w="160"/>
            </w:tcMar>
          </w:tcPr>
          <w:p>
            <w:pPr>
              <w:spacing w:before="0" w:after="80"/>
            </w:pPr>
            <w:r>
              <w:rPr>
                <w:rFonts w:ascii="Arial" w:cs="Arial" w:eastAsia="Arial" w:hAnsi="Arial"/>
                <w:b/>
                <w:bCs/>
                <w:color w:val="5B2D8E"/>
                <w:sz w:val="20"/>
                <w:szCs w:val="20"/>
              </w:rPr>
              <w:t xml:space="preserve">STEP 4  </w:t>
            </w:r>
            <w:r>
              <w:rPr>
                <w:rFonts w:ascii="Arial" w:cs="Arial" w:eastAsia="Arial" w:hAnsi="Arial"/>
                <w:b/>
                <w:bCs/>
                <w:color w:val="2D2D2D"/>
                <w:sz w:val="24"/>
                <w:szCs w:val="24"/>
              </w:rPr>
              <w:t xml:space="preserve">Identify Your Champions (Day 4–5)</w:t>
            </w:r>
          </w:p>
          <w:p>
            <w:pPr>
              <w:spacing w:before="80" w:after="8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>Open champion_traits_guide.docx. You're looking for 3–5 people. Not the most technical people — the most observant, trusted, and curious people. The guide will walk you through exactly what to look for.</w:t>
            </w:r>
          </w:p>
          <w:p>
            <w:pPr>
              <w:spacing w:before="80" w:after="8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>As you read it, write down names. Don't filter yourself yet — make a list of everyone who comes to mind, then narrow it.</w:t>
            </w:r>
          </w:p>
          <w:p>
            <w:pPr>
              <w:spacing w:before="60" w:after="0"/>
            </w:pPr>
            <w:r>
              <w:t xml:space="preserve"/>
            </w:r>
          </w:p>
          <w:p>
            <w:pPr>
              <w:spacing w:before="80" w:after="80"/>
            </w:pPr>
            <w:r>
              <w:rPr>
                <w:rFonts w:ascii="Arial" w:cs="Arial" w:eastAsia="Arial" w:hAnsi="Arial"/>
                <w:b/>
                <w:bCs/>
                <w:color w:val="2D2D2D"/>
                <w:sz w:val="22"/>
                <w:szCs w:val="22"/>
              </w:rPr>
              <w:t xml:space="preserve">Ideal cohort balance: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>At least one person in a public-facing role (front desk, reception, main office)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>At least one person with strong peer trust across departments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>A mix of communication styles — not all extroverts, not all introverts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>No more than one person from the same team or department</w:t>
            </w:r>
          </w:p>
          <w:p>
            <w:pPr>
              <w:spacing w:before="60" w:after="0"/>
            </w:pPr>
            <w: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300"/>
              <w:gridCol w:w="9060"/>
            </w:tblGrid>
            <w:tr>
              <w:tc>
                <w:tcPr>
                  <w:tcW w:type="dxa" w:w="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C9A84C" w:val="clear"/>
                  <w:tcMar>
                    <w:top w:type="dxa" w:w="80"/>
                    <w:bottom w:type="dxa" w:w="80"/>
                  </w:tcMar>
                </w:tcPr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color w:val="2D2D2D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type="dxa" w:w="90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FF8E1" w:val="clear"/>
                  <w:tcMar>
                    <w:top w:type="dxa" w:w="120"/>
                    <w:bottom w:type="dxa" w:w="120"/>
                  </w:tcMar>
                </w:tcPr>
                <w:p>
                  <w:pPr>
                    <w:spacing w:before="0" w:after="6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C9A84C"/>
                      <w:sz w:val="22"/>
                      <w:szCs w:val="22"/>
                    </w:rPr>
                    <w:t xml:space="preserve">THE MOST IMPORTANT RULE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Arial" w:cs="Arial" w:eastAsia="Arial" w:hAnsi="Arial"/>
                      <w:color w:val="2D2D2D"/>
                      <w:sz w:val="22"/>
                      <w:szCs w:val="22"/>
                    </w:rPr>
                    <w:t xml:space="preserve">Everyone must be a genuine volunteer. A champion who feels pressured will not spread culture — they will spread resentment. If someone hesitates, thank them and move on.</w:t>
                  </w:r>
                </w:p>
              </w:tc>
            </w:tr>
          </w:tbl>
          <w:p/>
        </w:tc>
      </w:tr>
    </w:tbl>
    <w:p>
      <w:pPr>
        <w:spacing w:before="12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"/>
        <w:gridCol w:w="9000"/>
      </w:tblGrid>
      <w:tr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D35400" w:val="clear"/>
            <w:tcMar>
              <w:top w:type="dxa" w:w="160"/>
              <w:bottom w:type="dxa" w:w="160"/>
            </w:tcMar>
          </w:tcPr>
          <w:p>
            <w:pPr>
              <w:spacing w:before="80" w:after="8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/>
            </w:r>
          </w:p>
        </w:tc>
        <w:tc>
          <w:tcPr>
            <w:tcW w:type="dxa" w:w="9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EF5E7" w:val="clear"/>
            <w:tcMar>
              <w:top w:type="dxa" w:w="160"/>
              <w:bottom w:type="dxa" w:w="160"/>
            </w:tcMar>
          </w:tcPr>
          <w:p>
            <w:pPr>
              <w:spacing w:before="0" w:after="80"/>
            </w:pPr>
            <w:r>
              <w:rPr>
                <w:rFonts w:ascii="Arial" w:cs="Arial" w:eastAsia="Arial" w:hAnsi="Arial"/>
                <w:b/>
                <w:bCs/>
                <w:color w:val="D35400"/>
                <w:sz w:val="20"/>
                <w:szCs w:val="20"/>
              </w:rPr>
              <w:t xml:space="preserve">STEP 5  </w:t>
            </w:r>
            <w:r>
              <w:rPr>
                <w:rFonts w:ascii="Arial" w:cs="Arial" w:eastAsia="Arial" w:hAnsi="Arial"/>
                <w:b/>
                <w:bCs/>
                <w:color w:val="2D2D2D"/>
                <w:sz w:val="24"/>
                <w:szCs w:val="24"/>
              </w:rPr>
              <w:t xml:space="preserve">Send Individual Recruitment Emails (Day 5–7)</w:t>
            </w:r>
          </w:p>
          <w:p>
            <w:pPr>
              <w:spacing w:before="80" w:after="8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>Open guild_master_email_templates.docx and use Template 1: Champion Recruitment Email. Send one email per person — never BCC the group. Each email needs one specific, genuine observation about that person before you send it.</w:t>
            </w:r>
          </w:p>
          <w:p>
            <w:pPr>
              <w:spacing w:before="60" w:after="0"/>
            </w:pPr>
            <w:r>
              <w:t xml:space="preserve"/>
            </w:r>
          </w:p>
          <w:p>
            <w:pPr>
              <w:spacing w:before="80" w:after="80"/>
            </w:pPr>
            <w:r>
              <w:rPr>
                <w:rFonts w:ascii="Arial" w:cs="Arial" w:eastAsia="Arial" w:hAnsi="Arial"/>
                <w:b/>
                <w:bCs/>
                <w:color w:val="2D2D2D"/>
                <w:sz w:val="22"/>
                <w:szCs w:val="22"/>
              </w:rPr>
              <w:t xml:space="preserve">The personal observation is non-negotiable: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>"You spotted that weird email last month before anyone else did."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>"You always verify requests before releasing information — that instinct is exactly what we need."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>"You're the person everyone on your team goes to when something feels off."</w:t>
            </w:r>
          </w:p>
          <w:p>
            <w:pPr>
              <w:spacing w:before="60" w:after="0"/>
            </w:pPr>
            <w:r>
              <w:t xml:space="preserve"/>
            </w:r>
          </w:p>
          <w:p>
            <w:pPr>
              <w:spacing w:before="80" w:after="8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>Generic emails get generic responses. Specific emails get yeses.</w:t>
            </w:r>
          </w:p>
          <w:p>
            <w:pPr>
              <w:spacing w:before="60" w:after="0"/>
            </w:pPr>
            <w: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300"/>
              <w:gridCol w:w="9060"/>
            </w:tblGrid>
            <w:tr>
              <w:tc>
                <w:tcPr>
                  <w:tcW w:type="dxa" w:w="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5B2D8E" w:val="clear"/>
                  <w:tcMar>
                    <w:top w:type="dxa" w:w="80"/>
                    <w:bottom w:type="dxa" w:w="80"/>
                  </w:tcMar>
                </w:tcPr>
                <w:p>
                  <w:pPr>
                    <w:spacing w:before="80" w:after="80"/>
                  </w:pPr>
                  <w:r>
                    <w:rPr>
                      <w:rFonts w:ascii="Arial" w:cs="Arial" w:eastAsia="Arial" w:hAnsi="Arial"/>
                      <w:color w:val="2D2D2D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type="dxa" w:w="90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EDE7F6" w:val="clear"/>
                  <w:tcMar>
                    <w:top w:type="dxa" w:w="120"/>
                    <w:bottom w:type="dxa" w:w="120"/>
                  </w:tcMar>
                </w:tcPr>
                <w:p>
                  <w:pPr>
                    <w:spacing w:before="0" w:after="6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5B2D8E"/>
                      <w:sz w:val="22"/>
                      <w:szCs w:val="22"/>
                    </w:rPr>
                    <w:t xml:space="preserve">WHAT IF THEY SAY NO?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Arial" w:cs="Arial" w:eastAsia="Arial" w:hAnsi="Arial"/>
                      <w:color w:val="2D2D2D"/>
                      <w:sz w:val="22"/>
                      <w:szCs w:val="22"/>
                    </w:rPr>
                    <w:t xml:space="preserve">Thank them sincerely and move on. Never follow up more than once on a recruitment email. The Guild only works with people who actually want to be there.</w:t>
                  </w:r>
                </w:p>
              </w:tc>
            </w:tr>
          </w:tbl>
          <w:p/>
        </w:tc>
      </w:tr>
    </w:tbl>
    <w:p>
      <w:pPr>
        <w:spacing w:before="200" w:after="0"/>
      </w:pPr>
      <w:r>
        <w:t xml:space="preserve"/>
      </w:r>
    </w:p>
    <w:p>
      <w:pPr>
        <w:pStyle w:val="Heading1"/>
        <w:pBdr>
          <w:bottom w:val="single" w:color="5B2D8E" w:sz="6" w:space="1"/>
        </w:pBdr>
        <w:spacing w:before="320" w:after="160"/>
      </w:pPr>
      <w:r>
        <w:rPr>
          <w:rFonts w:ascii="Arial" w:cs="Arial" w:eastAsia="Arial" w:hAnsi="Arial"/>
          <w:b/>
          <w:bCs/>
          <w:color w:val="5B2D8E"/>
          <w:sz w:val="32"/>
          <w:szCs w:val="32"/>
        </w:rPr>
        <w:t xml:space="preserve">Once You Have 3+ Yeses: Schedule Session Zero</w:t>
      </w:r>
    </w:p>
    <w:p>
      <w:pPr>
        <w:spacing w:before="80" w:after="8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You don't need all 5 champions to say yes before scheduling. Three confirmed champions is enough to run Session Zero. Use the Session Zero Checklist to prepare.</w:t>
      </w:r>
    </w:p>
    <w:p>
      <w:pPr>
        <w:spacing w:before="8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560"/>
      </w:tblGrid>
      <w:tr>
        <w:trPr>
          <w:tblHeader/>
        </w:trP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5B2D8E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Before Session Zero</w:t>
            </w:r>
          </w:p>
        </w:tc>
        <w:tc>
          <w:tcPr>
            <w:tcW w:type="dxa" w:w="6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5B2D8E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Action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1–2 weeks out</w:t>
            </w:r>
          </w:p>
        </w:tc>
        <w:tc>
          <w:tcPr>
            <w:tcW w:type="dxa" w:w="6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Book a 30-minute meeting — video or in-person both work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3 days out</w:t>
            </w:r>
          </w:p>
        </w:tc>
        <w:tc>
          <w:tcPr>
            <w:tcW w:type="dxa" w:w="6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Prepare one specific observation for each champion (for the 'Why You' section)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3 days out</w:t>
            </w:r>
          </w:p>
        </w:tc>
        <w:tc>
          <w:tcPr>
            <w:tcW w:type="dxa" w:w="6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Print or prepare Starter Quest Packs (one per champion)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3 days out</w:t>
            </w:r>
          </w:p>
        </w:tc>
        <w:tc>
          <w:tcPr>
            <w:tcW w:type="dxa" w:w="6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Set up the Guild Tracker with champion names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Day of</w:t>
            </w:r>
          </w:p>
        </w:tc>
        <w:tc>
          <w:tcPr>
            <w:tcW w:type="dxa" w:w="6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Have snacks visible before anyone sits down — sets the tone immediately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Same day after</w:t>
            </w:r>
          </w:p>
        </w:tc>
        <w:tc>
          <w:tcPr>
            <w:tcW w:type="dxa" w:w="6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Send follow-up email with Starter Quest Pack attached — do not wait until tomorrow</w:t>
            </w:r>
          </w:p>
        </w:tc>
      </w:tr>
    </w:tbl>
    <w:p>
      <w:pPr>
        <w:spacing w:before="200" w:after="0"/>
      </w:pPr>
      <w:r>
        <w:t xml:space="preserve"/>
      </w:r>
    </w:p>
    <w:p>
      <w:pPr>
        <w:pStyle w:val="Heading1"/>
        <w:pBdr>
          <w:bottom w:val="single" w:color="5B2D8E" w:sz="6" w:space="1"/>
        </w:pBdr>
        <w:spacing w:before="320" w:after="160"/>
      </w:pPr>
      <w:r>
        <w:rPr>
          <w:rFonts w:ascii="Arial" w:cs="Arial" w:eastAsia="Arial" w:hAnsi="Arial"/>
          <w:b/>
          <w:bCs/>
          <w:color w:val="5B2D8E"/>
          <w:sz w:val="32"/>
          <w:szCs w:val="32"/>
        </w:rPr>
        <w:t xml:space="preserve">Ongoing: Weekly Rhythm (Weeks 2–12)</w:t>
      </w:r>
    </w:p>
    <w:p>
      <w:pPr>
        <w:spacing w:before="80" w:after="8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Once Session Zero is done, the week-to-week operation is straightforward. The Week-by-Week GM Guide is your operations manual — open it at the start of each week.</w:t>
      </w:r>
    </w:p>
    <w:p>
      <w:pPr>
        <w:spacing w:before="8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7760"/>
      </w:tblGrid>
      <w:tr>
        <w:trPr>
          <w:tblHeader/>
        </w:trP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5B2D8E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Day</w:t>
            </w:r>
          </w:p>
        </w:tc>
        <w:tc>
          <w:tcPr>
            <w:tcW w:type="dxa" w:w="7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5B2D8E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Action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Monday</w:t>
            </w:r>
          </w:p>
        </w:tc>
        <w:tc>
          <w:tcPr>
            <w:tcW w:type="dxa" w:w="7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Send weekly quest briefing email (template in Guild Master Email Templates)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Monday</w:t>
            </w:r>
          </w:p>
        </w:tc>
        <w:tc>
          <w:tcPr>
            <w:tcW w:type="dxa" w:w="7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Launch any active trial (see Week-by-Week GM Guide for timing)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Ongoing</w:t>
            </w:r>
          </w:p>
        </w:tc>
        <w:tc>
          <w:tcPr>
            <w:tcW w:type="dxa" w:w="7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Acknowledge quest completions quickly — within hours if possible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Ongoing</w:t>
            </w:r>
          </w:p>
        </w:tc>
        <w:tc>
          <w:tcPr>
            <w:tcW w:type="dxa" w:w="7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Log XP in Guild Tracker as completions come in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Friday</w:t>
            </w:r>
          </w:p>
        </w:tc>
        <w:tc>
          <w:tcPr>
            <w:tcW w:type="dxa" w:w="7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Send post-trial debrief email if a trial ran this week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Monthly</w:t>
            </w:r>
          </w:p>
        </w:tc>
        <w:tc>
          <w:tcPr>
            <w:tcW w:type="dxa" w:w="7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Send leadership update email (Template 6 in Email Templates)</w:t>
            </w:r>
          </w:p>
        </w:tc>
      </w:tr>
    </w:tbl>
    <w:p>
      <w:pPr>
        <w:spacing w:before="12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"/>
        <w:gridCol w:w="9060"/>
      </w:tblGrid>
      <w:tr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9A84C" w:val="clear"/>
            <w:tcMar>
              <w:top w:type="dxa" w:w="80"/>
              <w:bottom w:type="dxa" w:w="80"/>
            </w:tcMar>
          </w:tcPr>
          <w:p>
            <w:pPr>
              <w:spacing w:before="80" w:after="8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/>
            </w:r>
          </w:p>
        </w:tc>
        <w:tc>
          <w:tcPr>
            <w:tcW w:type="dxa" w:w="90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8E1" w:val="clear"/>
            <w:tcMar>
              <w:top w:type="dxa" w:w="120"/>
              <w:bottom w:type="dxa" w:w="120"/>
            </w:tcMar>
          </w:tcPr>
          <w:p>
            <w:pPr>
              <w:spacing w:before="0" w:after="60"/>
            </w:pPr>
            <w:r>
              <w:rPr>
                <w:rFonts w:ascii="Arial" w:cs="Arial" w:eastAsia="Arial" w:hAnsi="Arial"/>
                <w:b/>
                <w:bCs/>
                <w:color w:val="C9A84C"/>
                <w:sz w:val="22"/>
                <w:szCs w:val="22"/>
              </w:rPr>
              <w:t xml:space="preserve">THE ONE THING THAT KILLS MOMENTUM</w:t>
            </w:r>
          </w:p>
          <w:p>
            <w:pPr>
              <w:spacing w:before="0" w:after="0"/>
            </w:pPr>
            <w:r>
              <w:rPr>
                <w:rFonts w:ascii="Arial" w:cs="Arial" w:eastAsia="Arial" w:hAnsi="Arial"/>
                <w:color w:val="2D2D2D"/>
                <w:sz w:val="22"/>
                <w:szCs w:val="22"/>
              </w:rPr>
              <w:t xml:space="preserve">Slow XP acknowledgment. If a champion reports a quest completion and hears nothing for three days, the reward loop breaks. A two-sentence reply within an hour does more for engagement than a paragraph sent next week.</w:t>
            </w:r>
          </w:p>
        </w:tc>
      </w:tr>
    </w:tbl>
    <w:p>
      <w:pPr>
        <w:spacing w:before="200" w:after="0"/>
      </w:pPr>
      <w:r>
        <w:t xml:space="preserve"/>
      </w:r>
    </w:p>
    <w:p>
      <w:pPr>
        <w:pStyle w:val="Heading1"/>
        <w:pBdr>
          <w:bottom w:val="single" w:color="5B2D8E" w:sz="6" w:space="1"/>
        </w:pBdr>
        <w:spacing w:before="320" w:after="160"/>
      </w:pPr>
      <w:r>
        <w:rPr>
          <w:rFonts w:ascii="Arial" w:cs="Arial" w:eastAsia="Arial" w:hAnsi="Arial"/>
          <w:b/>
          <w:bCs/>
          <w:color w:val="5B2D8E"/>
          <w:sz w:val="32"/>
          <w:szCs w:val="32"/>
        </w:rPr>
        <w:t xml:space="preserve">Quick Reference: File Name Map</w:t>
      </w:r>
    </w:p>
    <w:p>
      <w:pPr>
        <w:spacing w:before="80" w:after="8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Every file in the toolkit, with its exact filename:</w:t>
      </w:r>
    </w:p>
    <w:p>
      <w:pPr>
        <w:spacing w:before="8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800"/>
        <w:gridCol w:w="5560"/>
      </w:tblGrid>
      <w:tr>
        <w:trPr>
          <w:tblHeader/>
        </w:trPr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5B2D8E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Document Name</w:t>
            </w:r>
          </w:p>
        </w:tc>
        <w:tc>
          <w:tcPr>
            <w:tcW w:type="dxa" w:w="5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5B2D8E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Filename</w:t>
            </w:r>
          </w:p>
        </w:tc>
      </w:tr>
      <w:tr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Quick Start Guide</w:t>
            </w:r>
          </w:p>
        </w:tc>
        <w:tc>
          <w:tcPr>
            <w:tcW w:type="dxa" w:w="5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quick_start_guide.docx</w:t>
            </w:r>
          </w:p>
        </w:tc>
      </w:tr>
      <w:tr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Customization Guide</w:t>
            </w:r>
          </w:p>
        </w:tc>
        <w:tc>
          <w:tcPr>
            <w:tcW w:type="dxa" w:w="5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customization_guide.docx</w:t>
            </w:r>
          </w:p>
        </w:tc>
      </w:tr>
      <w:tr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Campaign Overview</w:t>
            </w:r>
          </w:p>
        </w:tc>
        <w:tc>
          <w:tcPr>
            <w:tcW w:type="dxa" w:w="5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security_guild_overview.docx</w:t>
            </w:r>
          </w:p>
        </w:tc>
      </w:tr>
      <w:tr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Leadership Pitch</w:t>
            </w:r>
          </w:p>
        </w:tc>
        <w:tc>
          <w:tcPr>
            <w:tcW w:type="dxa" w:w="5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leadership_pitch.docx</w:t>
            </w:r>
          </w:p>
        </w:tc>
      </w:tr>
      <w:tr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Champion Recruitment Guide</w:t>
            </w:r>
          </w:p>
        </w:tc>
        <w:tc>
          <w:tcPr>
            <w:tcW w:type="dxa" w:w="5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champion_traits_guide.docx</w:t>
            </w:r>
          </w:p>
        </w:tc>
      </w:tr>
      <w:tr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Guild Master Email Templates</w:t>
            </w:r>
          </w:p>
        </w:tc>
        <w:tc>
          <w:tcPr>
            <w:tcW w:type="dxa" w:w="5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guild_master_email_templates.docx</w:t>
            </w:r>
          </w:p>
        </w:tc>
      </w:tr>
      <w:tr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Session Zero Agenda + Script</w:t>
            </w:r>
          </w:p>
        </w:tc>
        <w:tc>
          <w:tcPr>
            <w:tcW w:type="dxa" w:w="5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session_zero_agenda.docx</w:t>
            </w:r>
          </w:p>
        </w:tc>
      </w:tr>
      <w:tr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Session Zero Checklist</w:t>
            </w:r>
          </w:p>
        </w:tc>
        <w:tc>
          <w:tcPr>
            <w:tcW w:type="dxa" w:w="5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session_zero_checklist.docx</w:t>
            </w:r>
          </w:p>
        </w:tc>
      </w:tr>
      <w:tr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Starter Quest Pack</w:t>
            </w:r>
          </w:p>
        </w:tc>
        <w:tc>
          <w:tcPr>
            <w:tcW w:type="dxa" w:w="5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starter_quest_pack.docx</w:t>
            </w:r>
          </w:p>
        </w:tc>
      </w:tr>
      <w:tr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Week-by-Week GM Guide</w:t>
            </w:r>
          </w:p>
        </w:tc>
        <w:tc>
          <w:tcPr>
            <w:tcW w:type="dxa" w:w="5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gm_week_by_week_guide.docx</w:t>
            </w:r>
          </w:p>
        </w:tc>
      </w:tr>
      <w:tr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Weekly Quest Packs (Weeks 2–12)</w:t>
            </w:r>
          </w:p>
        </w:tc>
        <w:tc>
          <w:tcPr>
            <w:tcW w:type="dxa" w:w="5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quest_pack_week_02.docx … week_12.docx</w:t>
            </w:r>
          </w:p>
        </w:tc>
      </w:tr>
      <w:tr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Bonus Quest Pack</w:t>
            </w:r>
          </w:p>
        </w:tc>
        <w:tc>
          <w:tcPr>
            <w:tcW w:type="dxa" w:w="5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bonus_quest_pack.docx</w:t>
            </w:r>
          </w:p>
        </w:tc>
      </w:tr>
      <w:tr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Red Team Trials: Sample Pack</w:t>
            </w:r>
          </w:p>
        </w:tc>
        <w:tc>
          <w:tcPr>
            <w:tcW w:type="dxa" w:w="5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security_guild_trials_samples.docx</w:t>
            </w:r>
          </w:p>
        </w:tc>
      </w:tr>
      <w:tr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Red Team Trials: Implementation</w:t>
            </w:r>
          </w:p>
        </w:tc>
        <w:tc>
          <w:tcPr>
            <w:tcW w:type="dxa" w:w="5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red_team_implementation_guide.docx</w:t>
            </w:r>
          </w:p>
        </w:tc>
      </w:tr>
      <w:tr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Phishing Quick Reference</w:t>
            </w:r>
          </w:p>
        </w:tc>
        <w:tc>
          <w:tcPr>
            <w:tcW w:type="dxa" w:w="5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spotting_phishing_emails.docx</w:t>
            </w:r>
          </w:p>
        </w:tc>
      </w:tr>
      <w:tr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The Defender's Codex</w:t>
            </w:r>
          </w:p>
        </w:tc>
        <w:tc>
          <w:tcPr>
            <w:tcW w:type="dxa" w:w="5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defenders_codex.docx</w:t>
            </w:r>
          </w:p>
        </w:tc>
      </w:tr>
      <w:tr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Final Stand Facilitator Guide</w:t>
            </w:r>
          </w:p>
        </w:tc>
        <w:tc>
          <w:tcPr>
            <w:tcW w:type="dxa" w:w="5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final_stand_facilitator_guide.docx</w:t>
            </w:r>
          </w:p>
        </w:tc>
      </w:tr>
      <w:tr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Champion Certificate</w:t>
            </w:r>
          </w:p>
        </w:tc>
        <w:tc>
          <w:tcPr>
            <w:tcW w:type="dxa" w:w="5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champion_certificate.docx</w:t>
            </w:r>
          </w:p>
        </w:tc>
      </w:tr>
      <w:tr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End-of-Program Report Template</w:t>
            </w:r>
          </w:p>
        </w:tc>
        <w:tc>
          <w:tcPr>
            <w:tcW w:type="dxa" w:w="5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end_of_program_report.docx</w:t>
            </w:r>
          </w:p>
        </w:tc>
      </w:tr>
      <w:tr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What's Next: Sustainability Guide</w:t>
            </w:r>
          </w:p>
        </w:tc>
        <w:tc>
          <w:tcPr>
            <w:tcW w:type="dxa" w:w="5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whats_next_sustainability_guide.docx</w:t>
            </w:r>
          </w:p>
        </w:tc>
      </w:tr>
      <w:tr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Cohort 2 Recruitment Kit</w:t>
            </w:r>
          </w:p>
        </w:tc>
        <w:tc>
          <w:tcPr>
            <w:tcW w:type="dxa" w:w="5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cohort_2_recruitment_kit.docx</w:t>
            </w:r>
          </w:p>
        </w:tc>
      </w:tr>
      <w:tr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Guild Tracker</w:t>
            </w:r>
          </w:p>
        </w:tc>
        <w:tc>
          <w:tcPr>
            <w:tcW w:type="dxa" w:w="5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bottom w:type="dxa" w:w="8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security_guild_tracker.xlsx</w:t>
            </w:r>
          </w:p>
        </w:tc>
      </w:tr>
    </w:tbl>
    <w:p>
      <w:pPr>
        <w:spacing w:before="200" w:after="0"/>
      </w:pPr>
      <w:r>
        <w:t xml:space="preserve"/>
      </w:r>
    </w:p>
    <w:p>
      <w:pPr>
        <w:pStyle w:val="Heading1"/>
        <w:pBdr>
          <w:bottom w:val="single" w:color="5B2D8E" w:sz="6" w:space="1"/>
        </w:pBdr>
        <w:spacing w:before="320" w:after="160"/>
      </w:pPr>
      <w:r>
        <w:rPr>
          <w:rFonts w:ascii="Arial" w:cs="Arial" w:eastAsia="Arial" w:hAnsi="Arial"/>
          <w:b/>
          <w:bCs/>
          <w:color w:val="5B2D8E"/>
          <w:sz w:val="32"/>
          <w:szCs w:val="32"/>
        </w:rPr>
        <w:t xml:space="preserve">Questions?</w:t>
      </w:r>
    </w:p>
    <w:p>
      <w:pPr>
        <w:spacing w:before="80" w:after="8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If something isn't working, check the Customization Guide troubleshooting section first. For everything else:</w:t>
      </w:r>
    </w:p>
    <w:p>
      <w:pPr>
        <w:spacing w:before="80" w:after="0"/>
      </w:pPr>
      <w:r>
        <w:t xml:space="preserve"/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/>
      </w:r>
      <w:r>
        <w:rPr>
          <w:rFonts w:ascii="Arial" w:cs="Arial" w:eastAsia="Arial" w:hAnsi="Arial"/>
          <w:b/>
          <w:bCs/>
          <w:color w:val="2D2D2D"/>
          <w:sz w:val="22"/>
          <w:szCs w:val="22"/>
        </w:rPr>
        <w:t xml:space="preserve">lizgore.com</w:t>
      </w:r>
      <w:r>
        <w:rPr>
          <w:rFonts w:ascii="Arial" w:cs="Arial" w:eastAsia="Arial" w:hAnsi="Arial"/>
          <w:color w:val="2D2D2D"/>
          <w:sz w:val="22"/>
          <w:szCs w:val="22"/>
        </w:rPr>
        <w:t xml:space="preserve"> — blog posts, talks, and program updates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/>
      </w:r>
      <w:r>
        <w:rPr>
          <w:rFonts w:ascii="Arial" w:cs="Arial" w:eastAsia="Arial" w:hAnsi="Arial"/>
          <w:b/>
          <w:bCs/>
          <w:color w:val="2D2D2D"/>
          <w:sz w:val="22"/>
          <w:szCs w:val="22"/>
        </w:rPr>
        <w:t xml:space="preserve">LinkedIn: linkedin.com/in/lizgore</w:t>
      </w:r>
      <w:r>
        <w:rPr>
          <w:rFonts w:ascii="Arial" w:cs="Arial" w:eastAsia="Arial" w:hAnsi="Arial"/>
          <w:color w:val="2D2D2D"/>
          <w:sz w:val="22"/>
          <w:szCs w:val="22"/>
        </w:rPr>
        <w:t xml:space="preserve"> — reach out directly if you're running the program and hit a wall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/>
      </w:r>
      <w:r>
        <w:rPr>
          <w:rFonts w:ascii="Arial" w:cs="Arial" w:eastAsia="Arial" w:hAnsi="Arial"/>
          <w:b/>
          <w:bCs/>
          <w:color w:val="2D2D2D"/>
          <w:sz w:val="22"/>
          <w:szCs w:val="22"/>
        </w:rPr>
        <w:t xml:space="preserve">Conference talks</w:t>
      </w:r>
      <w:r>
        <w:rPr>
          <w:rFonts w:ascii="Arial" w:cs="Arial" w:eastAsia="Arial" w:hAnsi="Arial"/>
          <w:color w:val="2D2D2D"/>
          <w:sz w:val="22"/>
          <w:szCs w:val="22"/>
        </w:rPr>
        <w:t xml:space="preserve"> — if you want to hear the full story behind this program, look for "The Side Quest Method" or "Dungeons &amp; Data Breaches" at BSidesNOLA, NolaCon, or the SANS Security Awareness Summit</w:t>
      </w:r>
    </w:p>
    <w:p>
      <w:pPr>
        <w:spacing w:before="120" w:after="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This toolkit is free and it's yours to adapt. If you run it, I'd genuinely love to hear how it went.</w:t>
      </w:r>
    </w:p>
    <w:p>
      <w:pPr>
        <w:spacing w:before="80" w:after="0"/>
      </w:pPr>
      <w:r>
        <w:t xml:space="preserve"/>
      </w:r>
    </w:p>
    <w:p>
      <w:pPr>
        <w:spacing w:before="80" w:after="200"/>
      </w:pPr>
      <w:r>
        <w:rPr>
          <w:rFonts w:ascii="Arial" w:cs="Arial" w:eastAsia="Arial" w:hAnsi="Arial"/>
          <w:b/>
          <w:bCs/>
          <w:color w:val="5B2D8E"/>
          <w:sz w:val="26"/>
          <w:szCs w:val="26"/>
        </w:rPr>
        <w:t xml:space="preserve">Roll for initiative. 🎲</w:t>
      </w:r>
    </w:p>
    <w:p>
      <w:pPr>
        <w:spacing w:before="80" w:after="0"/>
      </w:pPr>
      <w:r>
        <w:rPr>
          <w:rFonts w:ascii="Arial" w:cs="Arial" w:eastAsia="Arial" w:hAnsi="Arial"/>
          <w:color w:val="555555"/>
          <w:sz w:val="18"/>
          <w:szCs w:val="18"/>
        </w:rPr>
        <w:t xml:space="preserve">The Security Guild  •  lizgore.com  •  CC BY 4.0  •  Roll for initiative. 🎲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◦"/>
      <w:lvlJc w:val="left"/>
      <w:pPr>
        <w:ind w:left="1080" w:hanging="3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5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320" w:after="160"/>
      <w:outlineLvl w:val="0"/>
    </w:pPr>
    <w:rPr>
      <w:rFonts w:ascii="Arial" w:cs="Arial" w:eastAsia="Arial" w:hAnsi="Arial"/>
      <w:b/>
      <w:bCs/>
      <w:color w:val="5B2D8E"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240" w:after="120"/>
      <w:outlineLvl w:val="1"/>
    </w:pPr>
    <w:rPr>
      <w:rFonts w:ascii="Arial" w:cs="Arial" w:eastAsia="Arial" w:hAnsi="Arial"/>
      <w:b/>
      <w:bCs/>
      <w:color w:val="5B2D8E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2026-03-04T18:47:10.163Z</dcterms:created>
  <dcterms:modified xsi:type="dcterms:W3CDTF">2026-03-04T18:47:10.164Z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