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 w:after="0"/>
      </w:pPr>
      <w:r>
        <w:t xml:space="preserve"/>
      </w:r>
    </w:p>
    <w:p>
      <w:pPr>
        <w:spacing w:before="0" w:after="80"/>
        <w:jc w:val="center"/>
      </w:pPr>
      <w:r>
        <w:rPr>
          <w:rFonts w:ascii="Arial" w:cs="Arial" w:eastAsia="Arial" w:hAnsi="Arial"/>
          <w:b/>
          <w:bCs/>
          <w:color w:val="C9A84C"/>
          <w:sz w:val="20"/>
          <w:szCs w:val="20"/>
        </w:rPr>
        <w:t xml:space="preserve">⚔ THE SECURITY GUILD ⚔</w:t>
      </w:r>
    </w:p>
    <w:p>
      <w:pPr>
        <w:spacing w:before="0" w:after="200"/>
        <w:jc w:val="center"/>
      </w:pPr>
      <w:r>
        <w:rPr>
          <w:rFonts w:ascii="Arial" w:cs="Arial" w:eastAsia="Arial" w:hAnsi="Arial"/>
          <w:b/>
          <w:bCs/>
          <w:color w:val="5B2D8E"/>
          <w:sz w:val="40"/>
          <w:szCs w:val="40"/>
        </w:rPr>
        <w:t xml:space="preserve">Trial Notification Templates</w:t>
      </w:r>
    </w:p>
    <w:p>
      <w:pPr>
        <w:spacing w:before="0" w:after="400"/>
        <w:jc w:val="center"/>
      </w:pPr>
      <w:r>
        <w:rPr>
          <w:rFonts w:ascii="Arial" w:cs="Arial" w:eastAsia="Arial" w:hAnsi="Arial"/>
          <w:color w:val="555555"/>
          <w:sz w:val="24"/>
          <w:szCs w:val="24"/>
        </w:rPr>
        <w:t xml:space="preserve">Leadership heads-up memo and champion alert — two versions</w:t>
      </w:r>
    </w:p>
    <w:p>
      <w:pPr>
        <w:spacing w:before="80" w:after="80"/>
      </w:pPr>
      <w:r>
        <w:rPr>
          <w:rFonts w:ascii="Arial" w:cs="Arial" w:eastAsia="Arial" w:hAnsi="Arial"/>
          <w:color w:val="2D2D2D"/>
          <w:sz w:val="22"/>
          <w:szCs w:val="22"/>
        </w:rPr>
        <w:t xml:space="preserve">Two separate templates in this document. Version A is a brief memo to leadership alerting them that a trial is active — so they aren't blindsided if staff ask questions. Version B is the alert you send to champions letting them know a trial is live without revealing what it is.</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C9A84C" w:val="clear"/>
            <w:tcMar>
              <w:top w:type="dxa" w:w="80"/>
              <w:bottom w:type="dxa" w:w="80"/>
            </w:tcMar>
          </w:tcPr>
          <w:p>
            <w:pPr>
              <w:spacing w:before="80" w:after="80"/>
            </w:pPr>
            <w:r>
              <w:rPr>
                <w:rFonts w:ascii="Arial" w:cs="Arial" w:eastAsia="Arial" w:hAnsi="Arial"/>
                <w:color w:val="2D2D2D"/>
                <w:sz w:val="22"/>
                <w:szCs w:val="22"/>
              </w:rPr>
              <w:t xml:space="preserve"/>
            </w:r>
          </w:p>
        </w:tc>
        <w:tc>
          <w:tcPr>
            <w:tcW w:type="dxa" w:w="9060"/>
            <w:tcBorders>
              <w:top w:val="none" w:color="FFFFFF" w:sz="0"/>
              <w:left w:val="none" w:color="FFFFFF" w:sz="0"/>
              <w:bottom w:val="none" w:color="FFFFFF" w:sz="0"/>
              <w:right w:val="none" w:color="FFFFFF" w:sz="0"/>
            </w:tcBorders>
            <w:shd w:fill="FFF8E1" w:val="clear"/>
            <w:tcMar>
              <w:top w:type="dxa" w:w="120"/>
              <w:bottom w:type="dxa" w:w="120"/>
            </w:tcMar>
          </w:tcPr>
          <w:p>
            <w:pPr>
              <w:spacing w:before="0" w:after="60"/>
            </w:pPr>
            <w:r>
              <w:rPr>
                <w:rFonts w:ascii="Arial" w:cs="Arial" w:eastAsia="Arial" w:hAnsi="Arial"/>
                <w:b/>
                <w:bCs/>
                <w:color w:val="C9A84C"/>
                <w:sz w:val="22"/>
                <w:szCs w:val="22"/>
              </w:rPr>
              <w:t xml:space="preserve">WHY LEADERSHIP NEEDS TO KNOW</w:t>
            </w:r>
          </w:p>
          <w:p>
            <w:pPr>
              <w:spacing w:before="0" w:after="0"/>
            </w:pPr>
            <w:r>
              <w:rPr>
                <w:rFonts w:ascii="Arial" w:cs="Arial" w:eastAsia="Arial" w:hAnsi="Arial"/>
                <w:color w:val="2D2D2D"/>
                <w:sz w:val="22"/>
                <w:szCs w:val="22"/>
              </w:rPr>
              <w:t xml:space="preserve">If a staff member reports a suspicious interaction to a principal or director, leadership needs to be able to say 'yes, I know about this' — not 'what are you talking about?' An uninformed leader either kills the trial by accident or undermines staff trust in IT. Two sentences, sent the morning the trial launches, is all it takes.</w:t>
            </w:r>
          </w:p>
        </w:tc>
      </w:tr>
    </w:tbl>
    <w:p>
      <w:pPr>
        <w:spacing w:before="200" w:after="0"/>
      </w:pPr>
      <w:r>
        <w:t xml:space="preserve"/>
      </w:r>
    </w:p>
    <w:p>
      <w:pPr>
        <w:pStyle w:val="Heading1"/>
        <w:pBdr>
          <w:bottom w:val="single" w:color="5B2D8E" w:sz="6" w:space="1"/>
        </w:pBdr>
        <w:spacing w:before="320" w:after="160"/>
      </w:pPr>
      <w:r>
        <w:rPr>
          <w:rFonts w:ascii="Arial" w:cs="Arial" w:eastAsia="Arial" w:hAnsi="Arial"/>
          <w:b/>
          <w:bCs/>
          <w:color w:val="5B2D8E"/>
          <w:sz w:val="32"/>
          <w:szCs w:val="32"/>
        </w:rPr>
        <w:t xml:space="preserve">VERSION A: Leadership Notification Memo</w:t>
      </w:r>
    </w:p>
    <w:p>
      <w:pPr>
        <w:spacing w:before="80" w:after="80"/>
      </w:pPr>
      <w:r>
        <w:rPr>
          <w:rFonts w:ascii="Arial" w:cs="Arial" w:eastAsia="Arial" w:hAnsi="Arial"/>
          <w:color w:val="555555"/>
          <w:sz w:val="22"/>
          <w:szCs w:val="22"/>
        </w:rPr>
        <w:t xml:space="preserve">Send this to your direct leadership contact the morning a trial launches. Keep it brief — the goal is awareness, not permission. You already have permission.</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B2D8E" w:val="clear"/>
            <w:tcMar>
              <w:top w:type="dxa" w:w="80"/>
              <w:bottom w:type="dxa" w:w="80"/>
            </w:tcMar>
          </w:tcPr>
          <w:p>
            <w:pPr>
              <w:spacing w:before="80" w:after="80"/>
            </w:pPr>
            <w:r>
              <w:rPr>
                <w:rFonts w:ascii="Arial" w:cs="Arial" w:eastAsia="Arial" w:hAnsi="Arial"/>
                <w:color w:val="2D2D2D"/>
                <w:sz w:val="22"/>
                <w:szCs w:val="22"/>
              </w:rPr>
              <w:t xml:space="preserve"/>
            </w:r>
          </w:p>
        </w:tc>
        <w:tc>
          <w:tcPr>
            <w:tcW w:type="dxa" w:w="9060"/>
            <w:tcBorders>
              <w:top w:val="none" w:color="FFFFFF" w:sz="0"/>
              <w:left w:val="none" w:color="FFFFFF" w:sz="0"/>
              <w:bottom w:val="none" w:color="FFFFFF" w:sz="0"/>
              <w:right w:val="none" w:color="FFFFFF" w:sz="0"/>
            </w:tcBorders>
            <w:shd w:fill="EDE7F6" w:val="clear"/>
            <w:tcMar>
              <w:top w:type="dxa" w:w="120"/>
              <w:bottom w:type="dxa" w:w="120"/>
            </w:tcMar>
          </w:tcPr>
          <w:p>
            <w:pPr>
              <w:spacing w:before="0" w:after="60"/>
            </w:pPr>
            <w:r>
              <w:rPr>
                <w:rFonts w:ascii="Arial" w:cs="Arial" w:eastAsia="Arial" w:hAnsi="Arial"/>
                <w:b/>
                <w:bCs/>
                <w:color w:val="5B2D8E"/>
                <w:sz w:val="22"/>
                <w:szCs w:val="22"/>
              </w:rPr>
              <w:t xml:space="preserve">SUBJECT:</w:t>
            </w:r>
          </w:p>
          <w:p>
            <w:pPr>
              <w:spacing w:before="0" w:after="0"/>
            </w:pPr>
            <w:r>
              <w:rPr>
                <w:rFonts w:ascii="Arial" w:cs="Arial" w:eastAsia="Arial" w:hAnsi="Arial"/>
                <w:color w:val="2D2D2D"/>
                <w:sz w:val="22"/>
                <w:szCs w:val="22"/>
              </w:rPr>
              <w:t xml:space="preserve">Heads-up: Security Guild trial active this week</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60"/>
              <w:bottom w:type="dxa" w:w="160"/>
            </w:tcMar>
          </w:tcPr>
          <w:p>
            <w:pPr>
              <w:spacing w:before="80" w:after="80"/>
            </w:pPr>
            <w:r>
              <w:rPr>
                <w:rFonts w:ascii="Arial" w:cs="Arial" w:eastAsia="Arial" w:hAnsi="Arial"/>
                <w:color w:val="2D2D2D"/>
                <w:sz w:val="22"/>
                <w:szCs w:val="22"/>
              </w:rPr>
              <w:t xml:space="preserve">Hi [Name],</w:t>
            </w:r>
          </w:p>
          <w:p>
            <w:pPr>
              <w:spacing w:before="60" w:after="0"/>
            </w:pPr>
            <w:r>
              <w:t xml:space="preserve"/>
            </w:r>
          </w:p>
          <w:p>
            <w:pPr>
              <w:spacing w:before="80" w:after="80"/>
            </w:pPr>
            <w:r>
              <w:rPr>
                <w:rFonts w:ascii="Arial" w:cs="Arial" w:eastAsia="Arial" w:hAnsi="Arial"/>
                <w:color w:val="2D2D2D"/>
                <w:sz w:val="22"/>
                <w:szCs w:val="22"/>
              </w:rPr>
              <w:t xml:space="preserve">Quick heads-up: a Security Guild red team trial is active this week. [If staff ask about a [suspicious email / unexpected phone call / unfamiliar visitor / USB drive found in the building], it may be part of our program.</w:t>
            </w:r>
          </w:p>
          <w:p>
            <w:pPr>
              <w:spacing w:before="60" w:after="0"/>
            </w:pPr>
            <w:r>
              <w:t xml:space="preserve"/>
            </w:r>
          </w:p>
          <w:p>
            <w:pPr>
              <w:spacing w:before="80" w:after="80"/>
            </w:pPr>
            <w:r>
              <w:rPr>
                <w:rFonts w:ascii="Arial" w:cs="Arial" w:eastAsia="Arial" w:hAnsi="Arial"/>
                <w:color w:val="2D2D2D"/>
                <w:sz w:val="22"/>
                <w:szCs w:val="22"/>
              </w:rPr>
              <w:t xml:space="preserve">If anyone reports something to you directly:</w:t>
            </w:r>
          </w:p>
          <w:p>
            <w:pPr>
              <w:pStyle w:val="ListParagraph"/>
              <w:numPr>
                <w:ilvl w:val="0"/>
                <w:numId w:val="2"/>
              </w:numPr>
              <w:spacing w:before="60" w:after="60"/>
            </w:pPr>
            <w:r>
              <w:rPr>
                <w:rFonts w:ascii="Arial" w:cs="Arial" w:eastAsia="Arial" w:hAnsi="Arial"/>
                <w:color w:val="2D2D2D"/>
                <w:sz w:val="22"/>
                <w:szCs w:val="22"/>
              </w:rPr>
              <w:t xml:space="preserve">Say: "Thanks for flagging that — please also let your Guild Master know directly so it gets logged."</w:t>
            </w:r>
          </w:p>
          <w:p>
            <w:pPr>
              <w:pStyle w:val="ListParagraph"/>
              <w:numPr>
                <w:ilvl w:val="0"/>
                <w:numId w:val="2"/>
              </w:numPr>
              <w:spacing w:before="60" w:after="60"/>
            </w:pPr>
            <w:r>
              <w:rPr>
                <w:rFonts w:ascii="Arial" w:cs="Arial" w:eastAsia="Arial" w:hAnsi="Arial"/>
                <w:color w:val="2D2D2D"/>
                <w:sz w:val="22"/>
                <w:szCs w:val="22"/>
              </w:rPr>
              <w:t xml:space="preserve">Don't confirm or deny whether it's a test until I've sent the debrief email (I'll do that by [Friday / end of week]).</w:t>
            </w:r>
          </w:p>
          <w:p>
            <w:pPr>
              <w:spacing w:before="60" w:after="0"/>
            </w:pPr>
            <w:r>
              <w:t xml:space="preserve"/>
            </w:r>
          </w:p>
          <w:p>
            <w:pPr>
              <w:spacing w:before="80" w:after="80"/>
            </w:pPr>
            <w:r>
              <w:rPr>
                <w:rFonts w:ascii="Arial" w:cs="Arial" w:eastAsia="Arial" w:hAnsi="Arial"/>
                <w:color w:val="2D2D2D"/>
                <w:sz w:val="22"/>
                <w:szCs w:val="22"/>
              </w:rPr>
              <w:t xml:space="preserve">No action needed on your end — just wanted you to have context in case it comes up.</w:t>
            </w:r>
          </w:p>
          <w:p>
            <w:pPr>
              <w:spacing w:before="60" w:after="0"/>
            </w:pPr>
            <w:r>
              <w:t xml:space="preserve"/>
            </w:r>
          </w:p>
          <w:p>
            <w:pPr>
              <w:spacing w:before="80" w:after="80"/>
            </w:pPr>
            <w:r>
              <w:rPr>
                <w:rFonts w:ascii="Arial" w:cs="Arial" w:eastAsia="Arial" w:hAnsi="Arial"/>
                <w:color w:val="2D2D2D"/>
                <w:sz w:val="22"/>
                <w:szCs w:val="22"/>
              </w:rPr>
              <w:t xml:space="preserve">— [Your Name]</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B2D8E" w:val="clear"/>
            <w:tcMar>
              <w:top w:type="dxa" w:w="80"/>
              <w:bottom w:type="dxa" w:w="80"/>
            </w:tcMar>
          </w:tcPr>
          <w:p>
            <w:pPr>
              <w:spacing w:before="80" w:after="80"/>
            </w:pPr>
            <w:r>
              <w:rPr>
                <w:rFonts w:ascii="Arial" w:cs="Arial" w:eastAsia="Arial" w:hAnsi="Arial"/>
                <w:color w:val="2D2D2D"/>
                <w:sz w:val="22"/>
                <w:szCs w:val="22"/>
              </w:rPr>
              <w:t xml:space="preserve"/>
            </w:r>
          </w:p>
        </w:tc>
        <w:tc>
          <w:tcPr>
            <w:tcW w:type="dxa" w:w="9060"/>
            <w:tcBorders>
              <w:top w:val="none" w:color="FFFFFF" w:sz="0"/>
              <w:left w:val="none" w:color="FFFFFF" w:sz="0"/>
              <w:bottom w:val="none" w:color="FFFFFF" w:sz="0"/>
              <w:right w:val="none" w:color="FFFFFF" w:sz="0"/>
            </w:tcBorders>
            <w:shd w:fill="EDE7F6" w:val="clear"/>
            <w:tcMar>
              <w:top w:type="dxa" w:w="120"/>
              <w:bottom w:type="dxa" w:w="120"/>
            </w:tcMar>
          </w:tcPr>
          <w:p>
            <w:pPr>
              <w:spacing w:before="0" w:after="60"/>
            </w:pPr>
            <w:r>
              <w:rPr>
                <w:rFonts w:ascii="Arial" w:cs="Arial" w:eastAsia="Arial" w:hAnsi="Arial"/>
                <w:b/>
                <w:bCs/>
                <w:color w:val="5B2D8E"/>
                <w:sz w:val="22"/>
                <w:szCs w:val="22"/>
              </w:rPr>
              <w:t xml:space="preserve">FILL IN THE BLANK</w:t>
            </w:r>
          </w:p>
          <w:p>
            <w:pPr>
              <w:spacing w:before="0" w:after="0"/>
            </w:pPr>
            <w:r>
              <w:rPr>
                <w:rFonts w:ascii="Arial" w:cs="Arial" w:eastAsia="Arial" w:hAnsi="Arial"/>
                <w:color w:val="2D2D2D"/>
                <w:sz w:val="22"/>
                <w:szCs w:val="22"/>
              </w:rPr>
              <w:t xml:space="preserve">The [suspicious email / unexpected phone call / unfamiliar visitor / USB drive] placeholder — pick the one that matches this week's trial type. Don't name the trial specifically ("The Cursed Artifact") in the leadership email — that's Guild language. Plain language works better here.</w:t>
            </w:r>
          </w:p>
        </w:tc>
      </w:tr>
    </w:tbl>
    <w:p>
      <w:pPr>
        <w:spacing w:before="80" w:after="0"/>
      </w:pPr>
      <w:r>
        <w:t xml:space="preserve"/>
      </w:r>
    </w:p>
    <w:p>
      <w:pPr>
        <w:pStyle w:val="Heading2"/>
        <w:spacing w:before="240" w:after="120"/>
      </w:pPr>
      <w:r>
        <w:rPr>
          <w:rFonts w:ascii="Arial" w:cs="Arial" w:eastAsia="Arial" w:hAnsi="Arial"/>
          <w:b/>
          <w:bCs/>
          <w:color w:val="5B2D8E"/>
          <w:sz w:val="26"/>
          <w:szCs w:val="26"/>
        </w:rPr>
        <w:t xml:space="preserve">Per-Trial Language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160"/>
        <w:gridCol w:w="3400"/>
      </w:tblGrid>
      <w:tr>
        <w:trPr>
          <w:tblHeader/>
        </w:trPr>
        <w:tc>
          <w:tcPr>
            <w:tcW w:type="dxa" w:w="2800"/>
            <w:tcBorders>
              <w:top w:val="single" w:color="CCCCCC" w:sz="1"/>
              <w:left w:val="single" w:color="CCCCCC" w:sz="1"/>
              <w:bottom w:val="single" w:color="CCCCCC" w:sz="1"/>
              <w:right w:val="single" w:color="CCCCCC" w:sz="1"/>
            </w:tcBorders>
            <w:shd w:fill="5B2D8E" w:val="clear"/>
            <w:tcMar>
              <w:top w:type="dxa" w:w="80"/>
              <w:bottom w:type="dxa" w:w="80"/>
            </w:tcMar>
          </w:tcPr>
          <w:p>
            <w:r>
              <w:rPr>
                <w:rFonts w:ascii="Arial" w:cs="Arial" w:eastAsia="Arial" w:hAnsi="Arial"/>
                <w:b/>
                <w:bCs/>
                <w:color w:val="FFFFFF"/>
                <w:sz w:val="20"/>
                <w:szCs w:val="20"/>
              </w:rPr>
              <w:t xml:space="preserve">Trial</w:t>
            </w:r>
          </w:p>
        </w:tc>
        <w:tc>
          <w:tcPr>
            <w:tcW w:type="dxa" w:w="3160"/>
            <w:tcBorders>
              <w:top w:val="single" w:color="CCCCCC" w:sz="1"/>
              <w:left w:val="single" w:color="CCCCCC" w:sz="1"/>
              <w:bottom w:val="single" w:color="CCCCCC" w:sz="1"/>
              <w:right w:val="single" w:color="CCCCCC" w:sz="1"/>
            </w:tcBorders>
            <w:shd w:fill="5B2D8E" w:val="clear"/>
            <w:tcMar>
              <w:top w:type="dxa" w:w="80"/>
              <w:bottom w:type="dxa" w:w="80"/>
            </w:tcMar>
          </w:tcPr>
          <w:p>
            <w:r>
              <w:rPr>
                <w:rFonts w:ascii="Arial" w:cs="Arial" w:eastAsia="Arial" w:hAnsi="Arial"/>
                <w:b/>
                <w:bCs/>
                <w:color w:val="FFFFFF"/>
                <w:sz w:val="20"/>
                <w:szCs w:val="20"/>
              </w:rPr>
              <w:t xml:space="preserve">Type</w:t>
            </w:r>
          </w:p>
        </w:tc>
        <w:tc>
          <w:tcPr>
            <w:tcW w:type="dxa" w:w="3400"/>
            <w:tcBorders>
              <w:top w:val="single" w:color="CCCCCC" w:sz="1"/>
              <w:left w:val="single" w:color="CCCCCC" w:sz="1"/>
              <w:bottom w:val="single" w:color="CCCCCC" w:sz="1"/>
              <w:right w:val="single" w:color="CCCCCC" w:sz="1"/>
            </w:tcBorders>
            <w:shd w:fill="5B2D8E" w:val="clear"/>
            <w:tcMar>
              <w:top w:type="dxa" w:w="80"/>
              <w:bottom w:type="dxa" w:w="80"/>
            </w:tcMar>
          </w:tcPr>
          <w:p>
            <w:r>
              <w:rPr>
                <w:rFonts w:ascii="Arial" w:cs="Arial" w:eastAsia="Arial" w:hAnsi="Arial"/>
                <w:b/>
                <w:bCs/>
                <w:color w:val="FFFFFF"/>
                <w:sz w:val="20"/>
                <w:szCs w:val="20"/>
              </w:rPr>
              <w:t xml:space="preserve">Leadership Email Language</w:t>
            </w:r>
          </w:p>
        </w:tc>
      </w:tr>
      <w:tr>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The Poisoned Scroll</w:t>
            </w:r>
          </w:p>
        </w:tc>
        <w:tc>
          <w:tcPr>
            <w:tcW w:type="dxa" w:w="316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Email</w:t>
            </w:r>
          </w:p>
        </w:tc>
        <w:tc>
          <w:tcPr>
            <w:tcW w:type="dxa" w:w="34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"a suspicious email from an unknown sender"</w:t>
            </w:r>
          </w:p>
        </w:tc>
      </w:tr>
      <w:tr>
        <w:tc>
          <w:tcPr>
            <w:tcW w:type="dxa" w:w="28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The Forged Summons</w:t>
            </w:r>
          </w:p>
        </w:tc>
        <w:tc>
          <w:tcPr>
            <w:tcW w:type="dxa" w:w="316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Email</w:t>
            </w:r>
          </w:p>
        </w:tc>
        <w:tc>
          <w:tcPr>
            <w:tcW w:type="dxa" w:w="34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"an email appearing to be from IT requesting action"</w:t>
            </w:r>
          </w:p>
        </w:tc>
      </w:tr>
      <w:tr>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The Deceiver's Letter</w:t>
            </w:r>
          </w:p>
        </w:tc>
        <w:tc>
          <w:tcPr>
            <w:tcW w:type="dxa" w:w="316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Email</w:t>
            </w:r>
          </w:p>
        </w:tc>
        <w:tc>
          <w:tcPr>
            <w:tcW w:type="dxa" w:w="34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"an email appearing to come from a colleague"</w:t>
            </w:r>
          </w:p>
        </w:tc>
      </w:tr>
      <w:tr>
        <w:tc>
          <w:tcPr>
            <w:tcW w:type="dxa" w:w="28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The False Herald</w:t>
            </w:r>
          </w:p>
        </w:tc>
        <w:tc>
          <w:tcPr>
            <w:tcW w:type="dxa" w:w="316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Phone</w:t>
            </w:r>
          </w:p>
        </w:tc>
        <w:tc>
          <w:tcPr>
            <w:tcW w:type="dxa" w:w="34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"an unexpected call from someone acting on behalf of leadership"</w:t>
            </w:r>
          </w:p>
        </w:tc>
      </w:tr>
      <w:tr>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Voice of the Shapeshifter</w:t>
            </w:r>
          </w:p>
        </w:tc>
        <w:tc>
          <w:tcPr>
            <w:tcW w:type="dxa" w:w="316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Phone</w:t>
            </w:r>
          </w:p>
        </w:tc>
        <w:tc>
          <w:tcPr>
            <w:tcW w:type="dxa" w:w="34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"a call from someone claiming to be a vendor"</w:t>
            </w:r>
          </w:p>
        </w:tc>
      </w:tr>
      <w:tr>
        <w:tc>
          <w:tcPr>
            <w:tcW w:type="dxa" w:w="28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The Shadow's Entry</w:t>
            </w:r>
          </w:p>
        </w:tc>
        <w:tc>
          <w:tcPr>
            <w:tcW w:type="dxa" w:w="316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Physical</w:t>
            </w:r>
          </w:p>
        </w:tc>
        <w:tc>
          <w:tcPr>
            <w:tcW w:type="dxa" w:w="3400"/>
            <w:tcBorders>
              <w:top w:val="single" w:color="CCCCCC" w:sz="1"/>
              <w:left w:val="single" w:color="CCCCCC" w:sz="1"/>
              <w:bottom w:val="single" w:color="CCCCCC" w:sz="1"/>
              <w:right w:val="single" w:color="CCCCCC" w:sz="1"/>
            </w:tcBorders>
            <w:shd w:fill="F5F5F5" w:val="clear"/>
            <w:tcMar>
              <w:top w:type="dxa" w:w="80"/>
              <w:bottom w:type="dxa" w:w="80"/>
            </w:tcMar>
          </w:tcPr>
          <w:p>
            <w:r>
              <w:rPr>
                <w:rFonts w:ascii="Arial" w:cs="Arial" w:eastAsia="Arial" w:hAnsi="Arial"/>
                <w:color w:val="2D2D2D"/>
                <w:sz w:val="20"/>
                <w:szCs w:val="20"/>
              </w:rPr>
              <w:t xml:space="preserve">"an unfamiliar person attempting to enter the building"</w:t>
            </w:r>
          </w:p>
        </w:tc>
      </w:tr>
      <w:tr>
        <w:tc>
          <w:tcPr>
            <w:tcW w:type="dxa" w:w="28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The Cursed Artifact</w:t>
            </w:r>
          </w:p>
        </w:tc>
        <w:tc>
          <w:tcPr>
            <w:tcW w:type="dxa" w:w="316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Physical</w:t>
            </w:r>
          </w:p>
        </w:tc>
        <w:tc>
          <w:tcPr>
            <w:tcW w:type="dxa" w:w="3400"/>
            <w:tcBorders>
              <w:top w:val="single" w:color="CCCCCC" w:sz="1"/>
              <w:left w:val="single" w:color="CCCCCC" w:sz="1"/>
              <w:bottom w:val="single" w:color="CCCCCC" w:sz="1"/>
              <w:right w:val="single" w:color="CCCCCC" w:sz="1"/>
            </w:tcBorders>
            <w:shd w:fill="FFFFFF" w:val="clear"/>
            <w:tcMar>
              <w:top w:type="dxa" w:w="80"/>
              <w:bottom w:type="dxa" w:w="80"/>
            </w:tcMar>
          </w:tcPr>
          <w:p>
            <w:r>
              <w:rPr>
                <w:rFonts w:ascii="Arial" w:cs="Arial" w:eastAsia="Arial" w:hAnsi="Arial"/>
                <w:color w:val="2D2D2D"/>
                <w:sz w:val="20"/>
                <w:szCs w:val="20"/>
              </w:rPr>
              <w:t xml:space="preserve">"a USB drive or unfamiliar device found in a common area"</w:t>
            </w:r>
          </w:p>
        </w:tc>
      </w:tr>
    </w:tbl>
    <w:p>
      <w:pPr>
        <w:spacing w:before="200" w:after="0"/>
      </w:pPr>
      <w:r>
        <w:t xml:space="preserve"/>
      </w:r>
    </w:p>
    <w:p>
      <w:r>
        <w:br w:type="page"/>
      </w:r>
    </w:p>
    <w:p>
      <w:pPr>
        <w:pStyle w:val="Heading1"/>
        <w:pBdr>
          <w:bottom w:val="single" w:color="5B2D8E" w:sz="6" w:space="1"/>
        </w:pBdr>
        <w:spacing w:before="320" w:after="160"/>
      </w:pPr>
      <w:r>
        <w:rPr>
          <w:rFonts w:ascii="Arial" w:cs="Arial" w:eastAsia="Arial" w:hAnsi="Arial"/>
          <w:b/>
          <w:bCs/>
          <w:color w:val="5B2D8E"/>
          <w:sz w:val="32"/>
          <w:szCs w:val="32"/>
        </w:rPr>
        <w:t xml:space="preserve">VERSION B: Champion Alert Email</w:t>
      </w:r>
    </w:p>
    <w:p>
      <w:pPr>
        <w:spacing w:before="80" w:after="80"/>
      </w:pPr>
      <w:r>
        <w:rPr>
          <w:rFonts w:ascii="Arial" w:cs="Arial" w:eastAsia="Arial" w:hAnsi="Arial"/>
          <w:color w:val="555555"/>
          <w:sz w:val="22"/>
          <w:szCs w:val="22"/>
        </w:rPr>
        <w:t xml:space="preserve">Send this to your champions the morning a trial launches. Champions know trials are coming — they just don't know what form this one takes. This email tells them to be alert without giving away the mechanism.</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B2D8E" w:val="clear"/>
            <w:tcMar>
              <w:top w:type="dxa" w:w="80"/>
              <w:bottom w:type="dxa" w:w="80"/>
            </w:tcMar>
          </w:tcPr>
          <w:p>
            <w:pPr>
              <w:spacing w:before="80" w:after="80"/>
            </w:pPr>
            <w:r>
              <w:rPr>
                <w:rFonts w:ascii="Arial" w:cs="Arial" w:eastAsia="Arial" w:hAnsi="Arial"/>
                <w:color w:val="2D2D2D"/>
                <w:sz w:val="22"/>
                <w:szCs w:val="22"/>
              </w:rPr>
              <w:t xml:space="preserve"/>
            </w:r>
          </w:p>
        </w:tc>
        <w:tc>
          <w:tcPr>
            <w:tcW w:type="dxa" w:w="9060"/>
            <w:tcBorders>
              <w:top w:val="none" w:color="FFFFFF" w:sz="0"/>
              <w:left w:val="none" w:color="FFFFFF" w:sz="0"/>
              <w:bottom w:val="none" w:color="FFFFFF" w:sz="0"/>
              <w:right w:val="none" w:color="FFFFFF" w:sz="0"/>
            </w:tcBorders>
            <w:shd w:fill="EDE7F6" w:val="clear"/>
            <w:tcMar>
              <w:top w:type="dxa" w:w="120"/>
              <w:bottom w:type="dxa" w:w="120"/>
            </w:tcMar>
          </w:tcPr>
          <w:p>
            <w:pPr>
              <w:spacing w:before="0" w:after="60"/>
            </w:pPr>
            <w:r>
              <w:rPr>
                <w:rFonts w:ascii="Arial" w:cs="Arial" w:eastAsia="Arial" w:hAnsi="Arial"/>
                <w:b/>
                <w:bCs/>
                <w:color w:val="5B2D8E"/>
                <w:sz w:val="22"/>
                <w:szCs w:val="22"/>
              </w:rPr>
              <w:t xml:space="preserve">SUBJECT:</w:t>
            </w:r>
          </w:p>
          <w:p>
            <w:pPr>
              <w:spacing w:before="0" w:after="0"/>
            </w:pPr>
            <w:r>
              <w:rPr>
                <w:rFonts w:ascii="Arial" w:cs="Arial" w:eastAsia="Arial" w:hAnsi="Arial"/>
                <w:color w:val="2D2D2D"/>
                <w:sz w:val="22"/>
                <w:szCs w:val="22"/>
              </w:rPr>
              <w:t xml:space="preserve">⚔ Guild Alert — a trial is active</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60"/>
              <w:bottom w:type="dxa" w:w="160"/>
            </w:tcMar>
          </w:tcPr>
          <w:p>
            <w:pPr>
              <w:spacing w:before="80" w:after="80"/>
            </w:pPr>
            <w:r>
              <w:rPr>
                <w:rFonts w:ascii="Arial" w:cs="Arial" w:eastAsia="Arial" w:hAnsi="Arial"/>
                <w:color w:val="2D2D2D"/>
                <w:sz w:val="22"/>
                <w:szCs w:val="22"/>
              </w:rPr>
              <w:t xml:space="preserve">Guild members,</w:t>
            </w:r>
          </w:p>
          <w:p>
            <w:pPr>
              <w:spacing w:before="60" w:after="0"/>
            </w:pPr>
            <w:r>
              <w:t xml:space="preserve"/>
            </w:r>
          </w:p>
          <w:p>
            <w:pPr>
              <w:spacing w:before="80" w:after="80"/>
            </w:pPr>
            <w:r>
              <w:rPr>
                <w:rFonts w:ascii="Arial" w:cs="Arial" w:eastAsia="Arial" w:hAnsi="Arial"/>
                <w:color w:val="2D2D2D"/>
                <w:sz w:val="22"/>
                <w:szCs w:val="22"/>
              </w:rPr>
              <w:t xml:space="preserve">A trial is active. It launched this week. You know the drill — I won't tell you what it is or where it's coming from.</w:t>
            </w:r>
          </w:p>
          <w:p>
            <w:pPr>
              <w:spacing w:before="60" w:after="0"/>
            </w:pPr>
            <w:r>
              <w:t xml:space="preserve"/>
            </w:r>
          </w:p>
          <w:p>
            <w:pPr>
              <w:spacing w:before="80" w:after="80"/>
            </w:pPr>
            <w:r>
              <w:rPr>
                <w:rFonts w:ascii="Arial" w:cs="Arial" w:eastAsia="Arial" w:hAnsi="Arial"/>
                <w:color w:val="2D2D2D"/>
                <w:sz w:val="22"/>
                <w:szCs w:val="22"/>
              </w:rPr>
              <w:t xml:space="preserve">What I will tell you:</w:t>
            </w:r>
          </w:p>
          <w:p>
            <w:pPr>
              <w:pStyle w:val="ListParagraph"/>
              <w:numPr>
                <w:ilvl w:val="0"/>
                <w:numId w:val="2"/>
              </w:numPr>
              <w:spacing w:before="60" w:after="60"/>
            </w:pPr>
            <w:r>
              <w:rPr>
                <w:rFonts w:ascii="Arial" w:cs="Arial" w:eastAsia="Arial" w:hAnsi="Arial"/>
                <w:color w:val="2D2D2D"/>
                <w:sz w:val="22"/>
                <w:szCs w:val="22"/>
              </w:rPr>
              <w:t xml:space="preserve">Stay sharp. The trial could involve any channel: email, phone, or in person.</w:t>
            </w:r>
          </w:p>
          <w:p>
            <w:pPr>
              <w:pStyle w:val="ListParagraph"/>
              <w:numPr>
                <w:ilvl w:val="0"/>
                <w:numId w:val="2"/>
              </w:numPr>
              <w:spacing w:before="60" w:after="60"/>
            </w:pPr>
            <w:r>
              <w:rPr>
                <w:rFonts w:ascii="Arial" w:cs="Arial" w:eastAsia="Arial" w:hAnsi="Arial"/>
                <w:color w:val="2D2D2D"/>
                <w:sz w:val="22"/>
                <w:szCs w:val="22"/>
              </w:rPr>
              <w:t xml:space="preserve">If something feels off — report it. Even if you're not sure. Especially if you're not sure.</w:t>
            </w:r>
          </w:p>
          <w:p>
            <w:pPr>
              <w:pStyle w:val="ListParagraph"/>
              <w:numPr>
                <w:ilvl w:val="0"/>
                <w:numId w:val="2"/>
              </w:numPr>
              <w:spacing w:before="60" w:after="60"/>
            </w:pPr>
            <w:r>
              <w:rPr>
                <w:rFonts w:ascii="Arial" w:cs="Arial" w:eastAsia="Arial" w:hAnsi="Arial"/>
                <w:color w:val="2D2D2D"/>
                <w:sz w:val="22"/>
                <w:szCs w:val="22"/>
              </w:rPr>
              <w:t xml:space="preserve">First champion to report correctly earns a speed bonus: [+X XP / a coffee / recognition in the next briefing].</w:t>
            </w:r>
          </w:p>
          <w:p>
            <w:pPr>
              <w:spacing w:before="60" w:after="0"/>
            </w:pPr>
            <w:r>
              <w:t xml:space="preserve"/>
            </w:r>
          </w:p>
          <w:p>
            <w:pPr>
              <w:spacing w:before="80" w:after="80"/>
            </w:pPr>
            <w:r>
              <w:rPr>
                <w:rFonts w:ascii="Arial" w:cs="Arial" w:eastAsia="Arial" w:hAnsi="Arial"/>
                <w:color w:val="2D2D2D"/>
                <w:sz w:val="22"/>
                <w:szCs w:val="22"/>
              </w:rPr>
              <w:t xml:space="preserve">The debrief will go to all staff after the trial window closes. Until then: trust your instincts, report what you notice, and keep an eye out for colleagues who might flag something to you before they flag it to me.</w:t>
            </w:r>
          </w:p>
          <w:p>
            <w:pPr>
              <w:spacing w:before="60" w:after="0"/>
            </w:pPr>
            <w:r>
              <w:t xml:space="preserve"/>
            </w:r>
          </w:p>
          <w:p>
            <w:pPr>
              <w:spacing w:before="80" w:after="80"/>
            </w:pPr>
            <w:r>
              <w:rPr>
                <w:rFonts w:ascii="Arial" w:cs="Arial" w:eastAsia="Arial" w:hAnsi="Arial"/>
                <w:color w:val="2D2D2D"/>
                <w:sz w:val="22"/>
                <w:szCs w:val="22"/>
              </w:rPr>
              <w:t xml:space="preserve">Roll for initiative. 🎲</w:t>
            </w:r>
          </w:p>
          <w:p>
            <w:pPr>
              <w:spacing w:before="60" w:after="0"/>
            </w:pPr>
            <w:r>
              <w:t xml:space="preserve"/>
            </w:r>
          </w:p>
          <w:p>
            <w:pPr>
              <w:spacing w:before="80" w:after="80"/>
            </w:pPr>
            <w:r>
              <w:rPr>
                <w:rFonts w:ascii="Arial" w:cs="Arial" w:eastAsia="Arial" w:hAnsi="Arial"/>
                <w:color w:val="2D2D2D"/>
                <w:sz w:val="22"/>
                <w:szCs w:val="22"/>
              </w:rPr>
              <w:t xml:space="preserve">— [Your Name]</w:t>
            </w:r>
          </w:p>
        </w:tc>
      </w:tr>
    </w:tbl>
    <w:p>
      <w:pPr>
        <w:spacing w:before="12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C9A84C" w:val="clear"/>
            <w:tcMar>
              <w:top w:type="dxa" w:w="80"/>
              <w:bottom w:type="dxa" w:w="80"/>
            </w:tcMar>
          </w:tcPr>
          <w:p>
            <w:pPr>
              <w:spacing w:before="80" w:after="80"/>
            </w:pPr>
            <w:r>
              <w:rPr>
                <w:rFonts w:ascii="Arial" w:cs="Arial" w:eastAsia="Arial" w:hAnsi="Arial"/>
                <w:color w:val="2D2D2D"/>
                <w:sz w:val="22"/>
                <w:szCs w:val="22"/>
              </w:rPr>
              <w:t xml:space="preserve"/>
            </w:r>
          </w:p>
        </w:tc>
        <w:tc>
          <w:tcPr>
            <w:tcW w:type="dxa" w:w="9060"/>
            <w:tcBorders>
              <w:top w:val="none" w:color="FFFFFF" w:sz="0"/>
              <w:left w:val="none" w:color="FFFFFF" w:sz="0"/>
              <w:bottom w:val="none" w:color="FFFFFF" w:sz="0"/>
              <w:right w:val="none" w:color="FFFFFF" w:sz="0"/>
            </w:tcBorders>
            <w:shd w:fill="FFF8E1" w:val="clear"/>
            <w:tcMar>
              <w:top w:type="dxa" w:w="120"/>
              <w:bottom w:type="dxa" w:w="120"/>
            </w:tcMar>
          </w:tcPr>
          <w:p>
            <w:pPr>
              <w:spacing w:before="0" w:after="60"/>
            </w:pPr>
            <w:r>
              <w:rPr>
                <w:rFonts w:ascii="Arial" w:cs="Arial" w:eastAsia="Arial" w:hAnsi="Arial"/>
                <w:b/>
                <w:bCs/>
                <w:color w:val="C9A84C"/>
                <w:sz w:val="22"/>
                <w:szCs w:val="22"/>
              </w:rPr>
              <w:t xml:space="preserve">SPEED BONUS</w:t>
            </w:r>
          </w:p>
          <w:p>
            <w:pPr>
              <w:spacing w:before="0" w:after="0"/>
            </w:pPr>
            <w:r>
              <w:rPr>
                <w:rFonts w:ascii="Arial" w:cs="Arial" w:eastAsia="Arial" w:hAnsi="Arial"/>
                <w:color w:val="2D2D2D"/>
                <w:sz w:val="22"/>
                <w:szCs w:val="22"/>
              </w:rPr>
              <w:t xml:space="preserve">The speed bonus line is optional but effective — particularly in the second half of the campaign when competitive mechanics are most useful. If you've been tracking champion response times in the Guild Tracker, name the current record-holder in this email. That detail alone usually doubles how fast the first report comes in.</w:t>
            </w:r>
          </w:p>
        </w:tc>
      </w:tr>
    </w:tbl>
    <w:p>
      <w:pPr>
        <w:spacing w:before="120" w:after="0"/>
      </w:pPr>
      <w:r>
        <w:t xml:space="preserve"/>
      </w:r>
    </w:p>
    <w:p>
      <w:pPr>
        <w:pStyle w:val="Heading2"/>
        <w:spacing w:before="240" w:after="120"/>
      </w:pPr>
      <w:r>
        <w:rPr>
          <w:rFonts w:ascii="Arial" w:cs="Arial" w:eastAsia="Arial" w:hAnsi="Arial"/>
          <w:b/>
          <w:bCs/>
          <w:color w:val="5B2D8E"/>
          <w:sz w:val="26"/>
          <w:szCs w:val="26"/>
        </w:rPr>
        <w:t xml:space="preserve">Variation: When the Trial Is Physical</w:t>
      </w:r>
    </w:p>
    <w:p>
      <w:pPr>
        <w:spacing w:before="80" w:after="80"/>
      </w:pPr>
      <w:r>
        <w:rPr>
          <w:rFonts w:ascii="Arial" w:cs="Arial" w:eastAsia="Arial" w:hAnsi="Arial"/>
          <w:color w:val="2D2D2D"/>
          <w:sz w:val="22"/>
          <w:szCs w:val="22"/>
        </w:rPr>
        <w:t xml:space="preserve">For physical trials (Shadow's Entry and Cursed Artifact), the champion alert needs a subtle adjustment — you want them watching, but not actively intervening in a way that disrupts the test or creates an awkward confrontation with your confederate.</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
        <w:gridCol w:w="9060"/>
      </w:tblGrid>
      <w:tr>
        <w:tc>
          <w:tcPr>
            <w:tcW w:type="dxa" w:w="300"/>
            <w:tcBorders>
              <w:top w:val="none" w:color="FFFFFF" w:sz="0"/>
              <w:left w:val="none" w:color="FFFFFF" w:sz="0"/>
              <w:bottom w:val="none" w:color="FFFFFF" w:sz="0"/>
              <w:right w:val="none" w:color="FFFFFF" w:sz="0"/>
            </w:tcBorders>
            <w:shd w:fill="5B2D8E" w:val="clear"/>
            <w:tcMar>
              <w:top w:type="dxa" w:w="80"/>
              <w:bottom w:type="dxa" w:w="80"/>
            </w:tcMar>
          </w:tcPr>
          <w:p>
            <w:pPr>
              <w:spacing w:before="80" w:after="80"/>
            </w:pPr>
            <w:r>
              <w:rPr>
                <w:rFonts w:ascii="Arial" w:cs="Arial" w:eastAsia="Arial" w:hAnsi="Arial"/>
                <w:color w:val="2D2D2D"/>
                <w:sz w:val="22"/>
                <w:szCs w:val="22"/>
              </w:rPr>
              <w:t xml:space="preserve"/>
            </w:r>
          </w:p>
        </w:tc>
        <w:tc>
          <w:tcPr>
            <w:tcW w:type="dxa" w:w="9060"/>
            <w:tcBorders>
              <w:top w:val="none" w:color="FFFFFF" w:sz="0"/>
              <w:left w:val="none" w:color="FFFFFF" w:sz="0"/>
              <w:bottom w:val="none" w:color="FFFFFF" w:sz="0"/>
              <w:right w:val="none" w:color="FFFFFF" w:sz="0"/>
            </w:tcBorders>
            <w:shd w:fill="EDE7F6" w:val="clear"/>
            <w:tcMar>
              <w:top w:type="dxa" w:w="120"/>
              <w:bottom w:type="dxa" w:w="120"/>
            </w:tcMar>
          </w:tcPr>
          <w:p>
            <w:pPr>
              <w:spacing w:before="0" w:after="60"/>
            </w:pPr>
            <w:r>
              <w:rPr>
                <w:rFonts w:ascii="Arial" w:cs="Arial" w:eastAsia="Arial" w:hAnsi="Arial"/>
                <w:b/>
                <w:bCs/>
                <w:color w:val="5B2D8E"/>
                <w:sz w:val="22"/>
                <w:szCs w:val="22"/>
              </w:rPr>
              <w:t xml:space="preserve">SUBJECT:</w:t>
            </w:r>
          </w:p>
          <w:p>
            <w:pPr>
              <w:spacing w:before="0" w:after="0"/>
            </w:pPr>
            <w:r>
              <w:rPr>
                <w:rFonts w:ascii="Arial" w:cs="Arial" w:eastAsia="Arial" w:hAnsi="Arial"/>
                <w:color w:val="2D2D2D"/>
                <w:sz w:val="22"/>
                <w:szCs w:val="22"/>
              </w:rPr>
              <w:t xml:space="preserve">⚔ Guild Alert — a trial is active (read carefully)</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60"/>
              <w:bottom w:type="dxa" w:w="160"/>
            </w:tcMar>
          </w:tcPr>
          <w:p>
            <w:pPr>
              <w:spacing w:before="80" w:after="80"/>
            </w:pPr>
            <w:r>
              <w:rPr>
                <w:rFonts w:ascii="Arial" w:cs="Arial" w:eastAsia="Arial" w:hAnsi="Arial"/>
                <w:color w:val="2D2D2D"/>
                <w:sz w:val="22"/>
                <w:szCs w:val="22"/>
              </w:rPr>
              <w:t xml:space="preserve">Guild members,</w:t>
            </w:r>
          </w:p>
          <w:p>
            <w:pPr>
              <w:spacing w:before="60" w:after="0"/>
            </w:pPr>
            <w:r>
              <w:t xml:space="preserve"/>
            </w:r>
          </w:p>
          <w:p>
            <w:pPr>
              <w:spacing w:before="80" w:after="80"/>
            </w:pPr>
            <w:r>
              <w:rPr>
                <w:rFonts w:ascii="Arial" w:cs="Arial" w:eastAsia="Arial" w:hAnsi="Arial"/>
                <w:color w:val="2D2D2D"/>
                <w:sz w:val="22"/>
                <w:szCs w:val="22"/>
              </w:rPr>
              <w:t xml:space="preserve">A trial is active this week. This one involves something you might encounter in person — not through your screen.</w:t>
            </w:r>
          </w:p>
          <w:p>
            <w:pPr>
              <w:spacing w:before="60" w:after="0"/>
            </w:pPr>
            <w:r>
              <w:t xml:space="preserve"/>
            </w:r>
          </w:p>
          <w:p>
            <w:pPr>
              <w:spacing w:before="80" w:after="80"/>
            </w:pPr>
            <w:r>
              <w:rPr>
                <w:rFonts w:ascii="Arial" w:cs="Arial" w:eastAsia="Arial" w:hAnsi="Arial"/>
                <w:color w:val="2D2D2D"/>
                <w:sz w:val="22"/>
                <w:szCs w:val="22"/>
              </w:rPr>
              <w:t xml:space="preserve">Important: if you think you've spotted it, **do not intervene directly**. Report to me instead. That's the correct response, and it's how you complete the quest.</w:t>
            </w:r>
          </w:p>
          <w:p>
            <w:pPr>
              <w:spacing w:before="60" w:after="0"/>
            </w:pPr>
            <w:r>
              <w:t xml:space="preserve"/>
            </w:r>
          </w:p>
          <w:p>
            <w:pPr>
              <w:spacing w:before="80" w:after="80"/>
            </w:pPr>
            <w:r>
              <w:rPr>
                <w:rFonts w:ascii="Arial" w:cs="Arial" w:eastAsia="Arial" w:hAnsi="Arial"/>
                <w:color w:val="2D2D2D"/>
                <w:sz w:val="22"/>
                <w:szCs w:val="22"/>
              </w:rPr>
              <w:t xml:space="preserve">Report: [your contact method]. First to report correctly earns the speed bonus.</w:t>
            </w:r>
          </w:p>
          <w:p>
            <w:pPr>
              <w:spacing w:before="60" w:after="0"/>
            </w:pPr>
            <w:r>
              <w:t xml:space="preserve"/>
            </w:r>
          </w:p>
          <w:p>
            <w:pPr>
              <w:spacing w:before="80" w:after="80"/>
            </w:pPr>
            <w:r>
              <w:rPr>
                <w:rFonts w:ascii="Arial" w:cs="Arial" w:eastAsia="Arial" w:hAnsi="Arial"/>
                <w:color w:val="2D2D2D"/>
                <w:sz w:val="22"/>
                <w:szCs w:val="22"/>
              </w:rPr>
              <w:t xml:space="preserve">Stay observant. Trust what you notice.</w:t>
            </w:r>
          </w:p>
          <w:p>
            <w:pPr>
              <w:spacing w:before="60" w:after="0"/>
            </w:pPr>
            <w:r>
              <w:t xml:space="preserve"/>
            </w:r>
          </w:p>
          <w:p>
            <w:pPr>
              <w:spacing w:before="80" w:after="80"/>
            </w:pPr>
            <w:r>
              <w:rPr>
                <w:rFonts w:ascii="Arial" w:cs="Arial" w:eastAsia="Arial" w:hAnsi="Arial"/>
                <w:color w:val="2D2D2D"/>
                <w:sz w:val="22"/>
                <w:szCs w:val="22"/>
              </w:rPr>
              <w:t xml:space="preserve">Roll for initiative. 🎲</w:t>
            </w:r>
          </w:p>
          <w:p>
            <w:pPr>
              <w:spacing w:before="60" w:after="0"/>
            </w:pPr>
            <w:r>
              <w:t xml:space="preserve"/>
            </w:r>
          </w:p>
          <w:p>
            <w:pPr>
              <w:spacing w:before="80" w:after="80"/>
            </w:pPr>
            <w:r>
              <w:rPr>
                <w:rFonts w:ascii="Arial" w:cs="Arial" w:eastAsia="Arial" w:hAnsi="Arial"/>
                <w:color w:val="2D2D2D"/>
                <w:sz w:val="22"/>
                <w:szCs w:val="22"/>
              </w:rPr>
              <w:t xml:space="preserve">— [Your Name]</w:t>
            </w:r>
          </w:p>
        </w:tc>
      </w:tr>
    </w:tbl>
    <w:p>
      <w:pPr>
        <w:spacing w:before="200" w:after="0"/>
      </w:pPr>
      <w:r>
        <w:t xml:space="preserve"/>
      </w:r>
    </w:p>
    <w:p>
      <w:pPr>
        <w:spacing w:before="80" w:after="0"/>
      </w:pPr>
      <w:r>
        <w:rPr>
          <w:rFonts w:ascii="Arial" w:cs="Arial" w:eastAsia="Arial" w:hAnsi="Arial"/>
          <w:color w:val="555555"/>
          <w:sz w:val="18"/>
          <w:szCs w:val="18"/>
        </w:rPr>
        <w:t xml:space="preserve">The Security Guild  •  lizgore.com  •  CC BY 4.0  •  Roll for initiative.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5B2D8E"/>
      <w:sz w:val="32"/>
      <w:szCs w:val="32"/>
    </w:rPr>
  </w:style>
  <w:style w:type="paragraph" w:styleId="Heading2">
    <w:name w:val="Heading 2"/>
    <w:basedOn w:val="Normal"/>
    <w:next w:val="Normal"/>
    <w:qFormat/>
    <w:pPr>
      <w:spacing w:before="240" w:after="120"/>
      <w:outlineLvl w:val="1"/>
    </w:pPr>
    <w:rPr>
      <w:rFonts w:ascii="Arial" w:cs="Arial" w:eastAsia="Arial" w:hAnsi="Arial"/>
      <w:b/>
      <w:bCs/>
      <w:color w:val="5B2D8E"/>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2026-03-04T18:59:52.175Z</dcterms:created>
  <dcterms:modified xsi:type="dcterms:W3CDTF">2026-03-04T18:59:52.175Z</dcterms:modified>
</cp:coreProperties>
</file>

<file path=docProps/custom.xml><?xml version="1.0" encoding="utf-8"?>
<Properties xmlns="http://schemas.openxmlformats.org/officeDocument/2006/custom-properties" xmlns:vt="http://schemas.openxmlformats.org/officeDocument/2006/docPropsVTypes"/>
</file>