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400" w:after="0"/>
      </w:pPr>
      <w:r>
        <w:t xml:space="preserve"/>
      </w:r>
    </w:p>
    <w:p>
      <w:pPr>
        <w:spacing w:before="0" w:after="80"/>
        <w:jc w:val="center"/>
      </w:pPr>
      <w:r>
        <w:rPr>
          <w:rFonts w:ascii="Arial" w:cs="Arial" w:eastAsia="Arial" w:hAnsi="Arial"/>
          <w:b/>
          <w:bCs/>
          <w:color w:val="C9A84C"/>
          <w:sz w:val="20"/>
          <w:szCs w:val="20"/>
        </w:rPr>
        <w:t xml:space="preserve">⚔ THE SECURITY GUILD ⚔</w:t>
      </w:r>
    </w:p>
    <w:p>
      <w:pPr>
        <w:spacing w:before="0" w:after="200"/>
        <w:jc w:val="center"/>
      </w:pPr>
      <w:r>
        <w:rPr>
          <w:rFonts w:ascii="Arial" w:cs="Arial" w:eastAsia="Arial" w:hAnsi="Arial"/>
          <w:b/>
          <w:bCs/>
          <w:color w:val="5B2D8E"/>
          <w:sz w:val="40"/>
          <w:szCs w:val="40"/>
        </w:rPr>
        <w:t xml:space="preserve">Customization Guide</w:t>
      </w:r>
    </w:p>
    <w:p>
      <w:pPr>
        <w:spacing w:before="0" w:after="400"/>
        <w:jc w:val="center"/>
      </w:pPr>
      <w:r>
        <w:rPr>
          <w:rFonts w:ascii="Arial" w:cs="Arial" w:eastAsia="Arial" w:hAnsi="Arial"/>
          <w:color w:val="555555"/>
          <w:sz w:val="24"/>
          <w:szCs w:val="24"/>
        </w:rPr>
        <w:t xml:space="preserve">How to adapt the Security Guild for your organization</w:t>
      </w:r>
    </w:p>
    <w:p>
      <w:pPr>
        <w:spacing w:before="80" w:after="8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The Security Guild was built at a K-12 school in New Orleans. If you're running it somewhere else, some things need to change before you use them. This guide tells you exactly what, where, and how.</w:t>
      </w:r>
    </w:p>
    <w:p>
      <w:pPr>
        <w:spacing w:before="80" w:after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"/>
        <w:gridCol w:w="9060"/>
      </w:tblGrid>
      <w:tr>
        <w:tc>
          <w:tcPr>
            <w:tcW w:type="dxa" w:w="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C9A84C" w:val="clear"/>
            <w:tcMar>
              <w:top w:type="dxa" w:w="80"/>
              <w:bottom w:type="dxa" w:w="80"/>
            </w:tcMar>
          </w:tcPr>
          <w:p>
            <w:pPr>
              <w:spacing w:before="80" w:after="80"/>
            </w:pPr>
            <w:r>
              <w:rPr>
                <w:rFonts w:ascii="Arial" w:cs="Arial" w:eastAsia="Arial" w:hAnsi="Arial"/>
                <w:color w:val="2D2D2D"/>
                <w:sz w:val="22"/>
                <w:szCs w:val="22"/>
              </w:rPr>
              <w:t xml:space="preserve"/>
            </w:r>
          </w:p>
        </w:tc>
        <w:tc>
          <w:tcPr>
            <w:tcW w:type="dxa" w:w="90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8E1" w:val="clear"/>
            <w:tcMar>
              <w:top w:type="dxa" w:w="120"/>
              <w:bottom w:type="dxa" w:w="120"/>
            </w:tcMar>
          </w:tcPr>
          <w:p>
            <w:pPr>
              <w:spacing w:before="0" w:after="60"/>
            </w:pPr>
            <w:r>
              <w:rPr>
                <w:rFonts w:ascii="Arial" w:cs="Arial" w:eastAsia="Arial" w:hAnsi="Arial"/>
                <w:b/>
                <w:bCs/>
                <w:color w:val="C9A84C"/>
                <w:sz w:val="22"/>
                <w:szCs w:val="22"/>
              </w:rPr>
              <w:t xml:space="preserve">WHAT NEEDS CUSTOMIZING VS. WHAT DOESN'T</w:t>
            </w:r>
          </w:p>
          <w:p>
            <w:pPr>
              <w:spacing w:before="0" w:after="0"/>
            </w:pPr>
            <w:r>
              <w:rPr>
                <w:rFonts w:ascii="Arial" w:cs="Arial" w:eastAsia="Arial" w:hAnsi="Arial"/>
                <w:color w:val="2D2D2D"/>
                <w:sz w:val="22"/>
                <w:szCs w:val="22"/>
              </w:rPr>
              <w:t xml:space="preserve">The program structure, quest mechanics, XP system, and design principles work for any organization — don't change those. What needs adapting: your org's name, your sensitive data types, your tools, your breach examples, and your trial scenarios.</w:t>
            </w:r>
          </w:p>
        </w:tc>
      </w:tr>
    </w:tbl>
    <w:p>
      <w:pPr>
        <w:spacing w:before="200" w:after="0"/>
      </w:pPr>
      <w:r>
        <w:t xml:space="preserve"/>
      </w:r>
    </w:p>
    <w:p>
      <w:pPr>
        <w:pStyle w:val="Heading1"/>
        <w:pBdr>
          <w:bottom w:val="single" w:color="5B2D8E" w:sz="6" w:space="1"/>
        </w:pBdr>
        <w:spacing w:before="320" w:after="160"/>
      </w:pPr>
      <w:r>
        <w:rPr>
          <w:rFonts w:ascii="Arial" w:cs="Arial" w:eastAsia="Arial" w:hAnsi="Arial"/>
          <w:b/>
          <w:bCs/>
          <w:color w:val="5B2D8E"/>
          <w:sz w:val="32"/>
          <w:szCs w:val="32"/>
        </w:rPr>
        <w:t xml:space="preserve">Part 1: The Universal Placeholders</w:t>
      </w:r>
    </w:p>
    <w:p>
      <w:pPr>
        <w:spacing w:before="80" w:after="8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Every document that references your organization uses bracketed purple placeholder text. Find and replace these before using any document:</w:t>
      </w:r>
    </w:p>
    <w:p>
      <w:pPr>
        <w:spacing w:before="80" w:after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3360"/>
        <w:gridCol w:w="3200"/>
      </w:tblGrid>
      <w:tr>
        <w:trPr>
          <w:tblHeader/>
        </w:trP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5B2D8E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Placeholder</w:t>
            </w:r>
          </w:p>
        </w:tc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5B2D8E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Replace With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5B2D8E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Example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[Your Name]</w:t>
            </w:r>
          </w:p>
        </w:tc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Your full name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Alex Chen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[Your Title]</w:t>
            </w:r>
          </w:p>
        </w:tc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Your actual job title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Director of Technology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[Organization]</w:t>
            </w:r>
          </w:p>
        </w:tc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Your org's name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Riverside Community Clinic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[Your Contact]</w:t>
            </w:r>
          </w:p>
        </w:tc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Best way to reach you (email or ext.)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alex@org.com / Ext. 204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[School/Org]</w:t>
            </w:r>
          </w:p>
        </w:tc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Informal name you'd use in conversation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the clinic / the firm / our office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[date range]</w:t>
            </w:r>
          </w:p>
        </w:tc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Your planned program dates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March 3 – May 23, 2026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[Name]</w:t>
            </w:r>
          </w:p>
        </w:tc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Individual champion's name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Jordan / Dr. Patel / Ms. Torres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[Rank]</w:t>
            </w:r>
          </w:p>
        </w:tc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Champion's current Guild rank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Security Squire / Shield Bearer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[XP]</w:t>
            </w:r>
          </w:p>
        </w:tc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Champion's current XP total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145 XP</w:t>
            </w:r>
          </w:p>
        </w:tc>
      </w:tr>
    </w:tbl>
    <w:p>
      <w:pPr>
        <w:spacing w:before="120" w:after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"/>
        <w:gridCol w:w="9060"/>
      </w:tblGrid>
      <w:tr>
        <w:tc>
          <w:tcPr>
            <w:tcW w:type="dxa" w:w="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5B2D8E" w:val="clear"/>
            <w:tcMar>
              <w:top w:type="dxa" w:w="80"/>
              <w:bottom w:type="dxa" w:w="80"/>
            </w:tcMar>
          </w:tcPr>
          <w:p>
            <w:pPr>
              <w:spacing w:before="80" w:after="80"/>
            </w:pPr>
            <w:r>
              <w:rPr>
                <w:rFonts w:ascii="Arial" w:cs="Arial" w:eastAsia="Arial" w:hAnsi="Arial"/>
                <w:color w:val="2D2D2D"/>
                <w:sz w:val="22"/>
                <w:szCs w:val="22"/>
              </w:rPr>
              <w:t xml:space="preserve"/>
            </w:r>
          </w:p>
        </w:tc>
        <w:tc>
          <w:tcPr>
            <w:tcW w:type="dxa" w:w="90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DE7F6" w:val="clear"/>
            <w:tcMar>
              <w:top w:type="dxa" w:w="120"/>
              <w:bottom w:type="dxa" w:w="120"/>
            </w:tcMar>
          </w:tcPr>
          <w:p>
            <w:pPr>
              <w:spacing w:before="0" w:after="60"/>
            </w:pPr>
            <w:r>
              <w:rPr>
                <w:rFonts w:ascii="Arial" w:cs="Arial" w:eastAsia="Arial" w:hAnsi="Arial"/>
                <w:b/>
                <w:bCs/>
                <w:color w:val="5B2D8E"/>
                <w:sz w:val="22"/>
                <w:szCs w:val="22"/>
              </w:rPr>
              <w:t xml:space="preserve">FIND PURPLE TEXT IN WORD</w:t>
            </w:r>
          </w:p>
          <w:p>
            <w:pPr>
              <w:spacing w:before="0" w:after="0"/>
            </w:pPr>
            <w:r>
              <w:rPr>
                <w:rFonts w:ascii="Arial" w:cs="Arial" w:eastAsia="Arial" w:hAnsi="Arial"/>
                <w:color w:val="2D2D2D"/>
                <w:sz w:val="22"/>
                <w:szCs w:val="22"/>
              </w:rPr>
              <w:t xml:space="preserve">In Microsoft Word: Home → Find &amp; Replace (Ctrl+H) → click 'More' → 'Format' → 'Font' → set color to purple. This finds all placeholder text at once. In Google Docs: Edit → Find and Replace, then manually scan for brackets.</w:t>
            </w:r>
          </w:p>
        </w:tc>
      </w:tr>
    </w:tbl>
    <w:p>
      <w:pPr>
        <w:spacing w:before="200" w:after="0"/>
      </w:pPr>
      <w:r>
        <w:t xml:space="preserve"/>
      </w:r>
    </w:p>
    <w:p>
      <w:pPr>
        <w:pStyle w:val="Heading1"/>
        <w:pBdr>
          <w:bottom w:val="single" w:color="5B2D8E" w:sz="6" w:space="1"/>
        </w:pBdr>
        <w:spacing w:before="320" w:after="160"/>
      </w:pPr>
      <w:r>
        <w:rPr>
          <w:rFonts w:ascii="Arial" w:cs="Arial" w:eastAsia="Arial" w:hAnsi="Arial"/>
          <w:b/>
          <w:bCs/>
          <w:color w:val="5B2D8E"/>
          <w:sz w:val="32"/>
          <w:szCs w:val="32"/>
        </w:rPr>
        <w:t xml:space="preserve">Part 2: Document-by-Document Changes</w:t>
      </w:r>
    </w:p>
    <w:p>
      <w:pPr>
        <w:spacing w:before="80" w:after="8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Priority guide: Required = do this before using the document. Recommended = do this before sharing externally. Optional = nice to have.</w:t>
      </w:r>
    </w:p>
    <w:p>
      <w:pPr>
        <w:spacing w:before="80" w:after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4760"/>
        <w:gridCol w:w="1400"/>
      </w:tblGrid>
      <w:tr>
        <w:trPr>
          <w:tblHeader/>
        </w:trP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5B2D8E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Document</w:t>
            </w:r>
          </w:p>
        </w:tc>
        <w:tc>
          <w:tcPr>
            <w:tcW w:type="dxa" w:w="4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5B2D8E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What to Change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5B2D8E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Priority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2D2D2D"/>
                <w:sz w:val="20"/>
                <w:szCs w:val="20"/>
              </w:rPr>
              <w:t xml:space="preserve">leadership_pitch.docx</w:t>
            </w:r>
          </w:p>
        </w:tc>
        <w:tc>
          <w:tcPr>
            <w:tcW w:type="dxa" w:w="4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Your name/title, org name, sensitive data type, breach examples relevant to your industry, budget ask if different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C0392B"/>
                <w:sz w:val="20"/>
                <w:szCs w:val="20"/>
              </w:rPr>
              <w:t xml:space="preserve">Required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2D2D2D"/>
                <w:sz w:val="20"/>
                <w:szCs w:val="20"/>
              </w:rPr>
              <w:t xml:space="preserve">session_zero_agenda.docx</w:t>
            </w:r>
          </w:p>
        </w:tc>
        <w:tc>
          <w:tcPr>
            <w:tcW w:type="dxa" w:w="4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Your name/title, org name, FERPA reference → your applicable regulation, PowerSchool/LAUSD examples → your industry's breaches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C0392B"/>
                <w:sz w:val="20"/>
                <w:szCs w:val="20"/>
              </w:rPr>
              <w:t xml:space="preserve">Required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2D2D2D"/>
                <w:sz w:val="20"/>
                <w:szCs w:val="20"/>
              </w:rPr>
              <w:t xml:space="preserve">session_zero_script.docx</w:t>
            </w:r>
          </w:p>
        </w:tc>
        <w:tc>
          <w:tcPr>
            <w:tcW w:type="dxa" w:w="4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Same as agenda — these are paired documents. Also update the 'Why You' example quotes to match your org's context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C0392B"/>
                <w:sz w:val="20"/>
                <w:szCs w:val="20"/>
              </w:rPr>
              <w:t xml:space="preserve">Required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2D2D2D"/>
                <w:sz w:val="20"/>
                <w:szCs w:val="20"/>
              </w:rPr>
              <w:t xml:space="preserve">guild_master_email_templates.docx</w:t>
            </w:r>
          </w:p>
        </w:tc>
        <w:tc>
          <w:tcPr>
            <w:tcW w:type="dxa" w:w="4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Your name/title, org name, all [bracketed] fields. The post-trial debrief especially needs your tool names.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C0392B"/>
                <w:sz w:val="20"/>
                <w:szCs w:val="20"/>
              </w:rPr>
              <w:t xml:space="preserve">Required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2D2D2D"/>
                <w:sz w:val="20"/>
                <w:szCs w:val="20"/>
              </w:rPr>
              <w:t xml:space="preserve">red_team_implementation_guide.docx</w:t>
            </w:r>
          </w:p>
        </w:tc>
        <w:tc>
          <w:tcPr>
            <w:tcW w:type="dxa" w:w="4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Tool names in all phishing email templates (Hapara → your LMS, Kickboard → your platform, Paylocity → your HR system)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C0392B"/>
                <w:sz w:val="20"/>
                <w:szCs w:val="20"/>
              </w:rPr>
              <w:t xml:space="preserve">Required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2D2D2D"/>
                <w:sz w:val="20"/>
                <w:szCs w:val="20"/>
              </w:rPr>
              <w:t xml:space="preserve">security_guild_trials_samples.docx</w:t>
            </w:r>
          </w:p>
        </w:tc>
        <w:tc>
          <w:tcPr>
            <w:tcW w:type="dxa" w:w="4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Organization name in spoofed emails, real tool names replaced with your equivalents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C0392B"/>
                <w:sz w:val="20"/>
                <w:szCs w:val="20"/>
              </w:rPr>
              <w:t xml:space="preserve">Required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2D2D2D"/>
                <w:sz w:val="20"/>
                <w:szCs w:val="20"/>
              </w:rPr>
              <w:t xml:space="preserve">defenders_codex.docx</w:t>
            </w:r>
          </w:p>
        </w:tc>
        <w:tc>
          <w:tcPr>
            <w:tcW w:type="dxa" w:w="4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Your name/contact as Guild Master, your org's IT vendor or backup contact, any org-specific IR procedures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C0392B"/>
                <w:sz w:val="20"/>
                <w:szCs w:val="20"/>
              </w:rPr>
              <w:t xml:space="preserve">Required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2D2D2D"/>
                <w:sz w:val="20"/>
                <w:szCs w:val="20"/>
              </w:rPr>
              <w:t xml:space="preserve">security_guild_overview.docx</w:t>
            </w:r>
          </w:p>
        </w:tc>
        <w:tc>
          <w:tcPr>
            <w:tcW w:type="dxa" w:w="4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Organization name, sensitive data type, optional: your industry's breach examples in the 'why this matters' section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C9A84C"/>
                <w:sz w:val="20"/>
                <w:szCs w:val="20"/>
              </w:rPr>
              <w:t xml:space="preserve">Recommended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2D2D2D"/>
                <w:sz w:val="20"/>
                <w:szCs w:val="20"/>
              </w:rPr>
              <w:t xml:space="preserve">champion_traits_guide.docx</w:t>
            </w:r>
          </w:p>
        </w:tc>
        <w:tc>
          <w:tcPr>
            <w:tcW w:type="dxa" w:w="4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Role examples (front desk, SPED staff, etc.) can stay as-is for most orgs — update if your roles are significantly different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E8449"/>
                <w:sz w:val="20"/>
                <w:szCs w:val="20"/>
              </w:rPr>
              <w:t xml:space="preserve">Optional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2D2D2D"/>
                <w:sz w:val="20"/>
                <w:szCs w:val="20"/>
              </w:rPr>
              <w:t xml:space="preserve">weekly quest packs (all 12)</w:t>
            </w:r>
          </w:p>
        </w:tc>
        <w:tc>
          <w:tcPr>
            <w:tcW w:type="dxa" w:w="4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Most quests are universal — scan for any school-specific language (FERPA, student records) and adapt if needed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C9A84C"/>
                <w:sz w:val="20"/>
                <w:szCs w:val="20"/>
              </w:rPr>
              <w:t xml:space="preserve">Recommended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2D2D2D"/>
                <w:sz w:val="20"/>
                <w:szCs w:val="20"/>
              </w:rPr>
              <w:t xml:space="preserve">final_stand_facilitator_guide.docx</w:t>
            </w:r>
          </w:p>
        </w:tc>
        <w:tc>
          <w:tcPr>
            <w:tcW w:type="dxa" w:w="4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The 'Ransomed School' scenario works for most orgs as-is. Optionally rename it and swap SIS for your critical system.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E8449"/>
                <w:sz w:val="20"/>
                <w:szCs w:val="20"/>
              </w:rPr>
              <w:t xml:space="preserve">Optional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2D2D2D"/>
                <w:sz w:val="20"/>
                <w:szCs w:val="20"/>
              </w:rPr>
              <w:t xml:space="preserve">gm_week_by_week_guide.docx</w:t>
            </w:r>
          </w:p>
        </w:tc>
        <w:tc>
          <w:tcPr>
            <w:tcW w:type="dxa" w:w="4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Dates if you add them, tool references in trial descriptions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E8449"/>
                <w:sz w:val="20"/>
                <w:szCs w:val="20"/>
              </w:rPr>
              <w:t xml:space="preserve">Optional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2D2D2D"/>
                <w:sz w:val="20"/>
                <w:szCs w:val="20"/>
              </w:rPr>
              <w:t xml:space="preserve">end_of_program_report.docx</w:t>
            </w:r>
          </w:p>
        </w:tc>
        <w:tc>
          <w:tcPr>
            <w:tcW w:type="dxa" w:w="4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Org name, your name/title, dates — all bracketed. Fill in data as you go.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E8449"/>
                <w:sz w:val="20"/>
                <w:szCs w:val="20"/>
              </w:rPr>
              <w:t xml:space="preserve">Required when used</w:t>
            </w:r>
          </w:p>
        </w:tc>
      </w:tr>
    </w:tbl>
    <w:p>
      <w:pPr>
        <w:spacing w:before="200" w:after="0"/>
      </w:pPr>
      <w:r>
        <w:t xml:space="preserve"/>
      </w:r>
    </w:p>
    <w:p>
      <w:pPr>
        <w:pStyle w:val="Heading1"/>
        <w:pBdr>
          <w:bottom w:val="single" w:color="5B2D8E" w:sz="6" w:space="1"/>
        </w:pBdr>
        <w:spacing w:before="320" w:after="160"/>
      </w:pPr>
      <w:r>
        <w:rPr>
          <w:rFonts w:ascii="Arial" w:cs="Arial" w:eastAsia="Arial" w:hAnsi="Arial"/>
          <w:b/>
          <w:bCs/>
          <w:color w:val="5B2D8E"/>
          <w:sz w:val="32"/>
          <w:szCs w:val="32"/>
        </w:rPr>
        <w:t xml:space="preserve">Part 3: Replacing the Tool Names</w:t>
      </w:r>
    </w:p>
    <w:p>
      <w:pPr>
        <w:spacing w:before="80" w:after="8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The original program was built around EQA's specific tools. Every phishing trial email that spoofs a tool name needs to be updated to spoof a tool your staff actually uses. Here are the original tools and their generic replacements:</w:t>
      </w:r>
    </w:p>
    <w:p>
      <w:pPr>
        <w:spacing w:before="80" w:after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2400"/>
        <w:gridCol w:w="4560"/>
      </w:tblGrid>
      <w:tr>
        <w:trPr>
          <w:tblHeader/>
        </w:trP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5B2D8E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Original Tool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5B2D8E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What It Is</w:t>
            </w:r>
          </w:p>
        </w:tc>
        <w:tc>
          <w:tcPr>
            <w:tcW w:type="dxa" w:w="4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5B2D8E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Replace With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Hapara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Google Workspace management for schools</w:t>
            </w:r>
          </w:p>
        </w:tc>
        <w:tc>
          <w:tcPr>
            <w:tcW w:type="dxa" w:w="4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Your LMS, Google Workspace admin console, or main staff portal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Kickboard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Student behavior / data platform</w:t>
            </w:r>
          </w:p>
        </w:tc>
        <w:tc>
          <w:tcPr>
            <w:tcW w:type="dxa" w:w="4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Your student data platform, CRM, or case management system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Paylocity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HR / payroll system</w:t>
            </w:r>
          </w:p>
        </w:tc>
        <w:tc>
          <w:tcPr>
            <w:tcW w:type="dxa" w:w="4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Your HR or payroll platform (ADP, Paycom, Gusto, etc.)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Google Workspace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Email, Drive, Docs</w:t>
            </w:r>
          </w:p>
        </w:tc>
        <w:tc>
          <w:tcPr>
            <w:tcW w:type="dxa" w:w="4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Keep as-is if you use Google Workspace — most orgs do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PowerSchool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Student information system (SIS)</w:t>
            </w:r>
          </w:p>
        </w:tc>
        <w:tc>
          <w:tcPr>
            <w:tcW w:type="dxa" w:w="4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Your student or client information system — or remove entirely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eqa-schools.org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Domain used in spoofed emails</w:t>
            </w:r>
          </w:p>
        </w:tc>
        <w:tc>
          <w:tcPr>
            <w:tcW w:type="dxa" w:w="4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Your organization's actual email domain</w:t>
            </w:r>
          </w:p>
        </w:tc>
      </w:tr>
    </w:tbl>
    <w:p>
      <w:pPr>
        <w:spacing w:before="120" w:after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"/>
        <w:gridCol w:w="9060"/>
      </w:tblGrid>
      <w:tr>
        <w:tc>
          <w:tcPr>
            <w:tcW w:type="dxa" w:w="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C9A84C" w:val="clear"/>
            <w:tcMar>
              <w:top w:type="dxa" w:w="80"/>
              <w:bottom w:type="dxa" w:w="80"/>
            </w:tcMar>
          </w:tcPr>
          <w:p>
            <w:pPr>
              <w:spacing w:before="80" w:after="80"/>
            </w:pPr>
            <w:r>
              <w:rPr>
                <w:rFonts w:ascii="Arial" w:cs="Arial" w:eastAsia="Arial" w:hAnsi="Arial"/>
                <w:color w:val="2D2D2D"/>
                <w:sz w:val="22"/>
                <w:szCs w:val="22"/>
              </w:rPr>
              <w:t xml:space="preserve"/>
            </w:r>
          </w:p>
        </w:tc>
        <w:tc>
          <w:tcPr>
            <w:tcW w:type="dxa" w:w="90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8E1" w:val="clear"/>
            <w:tcMar>
              <w:top w:type="dxa" w:w="120"/>
              <w:bottom w:type="dxa" w:w="120"/>
            </w:tcMar>
          </w:tcPr>
          <w:p>
            <w:pPr>
              <w:spacing w:before="0" w:after="60"/>
            </w:pPr>
            <w:r>
              <w:rPr>
                <w:rFonts w:ascii="Arial" w:cs="Arial" w:eastAsia="Arial" w:hAnsi="Arial"/>
                <w:b/>
                <w:bCs/>
                <w:color w:val="C9A84C"/>
                <w:sz w:val="22"/>
                <w:szCs w:val="22"/>
              </w:rPr>
              <w:t xml:space="preserve">MAKE THE TRIALS BELIEVABLE</w:t>
            </w:r>
          </w:p>
          <w:p>
            <w:pPr>
              <w:spacing w:before="0" w:after="0"/>
            </w:pPr>
            <w:r>
              <w:rPr>
                <w:rFonts w:ascii="Arial" w:cs="Arial" w:eastAsia="Arial" w:hAnsi="Arial"/>
                <w:color w:val="2D2D2D"/>
                <w:sz w:val="22"/>
                <w:szCs w:val="22"/>
              </w:rPr>
              <w:t xml:space="preserve">A phishing email that spoofs a tool your staff has never heard of won't work as a trial — it'll get flagged immediately for the wrong reason. The trial is testing vigilance, not tool familiarity. Use tools your staff interacts with weekly.</w:t>
            </w:r>
          </w:p>
        </w:tc>
      </w:tr>
    </w:tbl>
    <w:p>
      <w:pPr>
        <w:spacing w:before="200" w:after="0"/>
      </w:pPr>
      <w:r>
        <w:t xml:space="preserve"/>
      </w:r>
    </w:p>
    <w:p>
      <w:pPr>
        <w:pStyle w:val="Heading1"/>
        <w:pBdr>
          <w:bottom w:val="single" w:color="5B2D8E" w:sz="6" w:space="1"/>
        </w:pBdr>
        <w:spacing w:before="320" w:after="160"/>
      </w:pPr>
      <w:r>
        <w:rPr>
          <w:rFonts w:ascii="Arial" w:cs="Arial" w:eastAsia="Arial" w:hAnsi="Arial"/>
          <w:b/>
          <w:bCs/>
          <w:color w:val="5B2D8E"/>
          <w:sz w:val="32"/>
          <w:szCs w:val="32"/>
        </w:rPr>
        <w:t xml:space="preserve">Part 4: Industry Adaptation Reference</w:t>
      </w:r>
    </w:p>
    <w:p>
      <w:pPr>
        <w:spacing w:before="80" w:after="8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The original materials reference K-12 schools, FERPA, and school-specific breach examples. Here's how to adapt for other industries:</w:t>
      </w:r>
    </w:p>
    <w:p>
      <w:pPr>
        <w:spacing w:before="80" w:after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1760"/>
        <w:gridCol w:w="2200"/>
        <w:gridCol w:w="1800"/>
        <w:gridCol w:w="2000"/>
      </w:tblGrid>
      <w:tr>
        <w:trPr>
          <w:tblHeader/>
        </w:trP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5B2D8E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Industry</w:t>
            </w:r>
          </w:p>
        </w:tc>
        <w:tc>
          <w:tcPr>
            <w:tcW w:type="dxa" w:w="1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5B2D8E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Sensitive Data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5B2D8E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Breach Example to Use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5B2D8E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Regulation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5B2D8E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Tool Examples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5B2D8E"/>
                <w:sz w:val="20"/>
                <w:szCs w:val="20"/>
              </w:rPr>
              <w:t xml:space="preserve">K-12 Schools</w:t>
            </w:r>
          </w:p>
        </w:tc>
        <w:tc>
          <w:tcPr>
            <w:tcW w:type="dxa" w:w="1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Student records, family data, financial info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PowerSchool (2024), LAUSD ransomware, Minneapolis PS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FERPA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Google Workspace, your SIS, Payroll system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5B2D8E"/>
                <w:sz w:val="20"/>
                <w:szCs w:val="20"/>
              </w:rPr>
              <w:t xml:space="preserve">Healthcare</w:t>
            </w:r>
          </w:p>
        </w:tc>
        <w:tc>
          <w:tcPr>
            <w:tcW w:type="dxa" w:w="1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Patient records, billing info, insurance data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Change Healthcare (2024), Ascension ransomware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HIPAA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EHR system, billing platform, patient portal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5B2D8E"/>
                <w:sz w:val="20"/>
                <w:szCs w:val="20"/>
              </w:rPr>
              <w:t xml:space="preserve">Nonprofits</w:t>
            </w:r>
          </w:p>
        </w:tc>
        <w:tc>
          <w:tcPr>
            <w:tcW w:type="dxa" w:w="1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Donor data, grant info, client/beneficiary data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Blackbaud breach (2020), local case studies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State data laws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Salesforce/CRM, grant portal, email platform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5B2D8E"/>
                <w:sz w:val="20"/>
                <w:szCs w:val="20"/>
              </w:rPr>
              <w:t xml:space="preserve">Legal / Law Firms</w:t>
            </w:r>
          </w:p>
        </w:tc>
        <w:tc>
          <w:tcPr>
            <w:tcW w:type="dxa" w:w="1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Client matters, case files, financial data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ABA reported breaches, DLA Piper ransomware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Attorney-client privilege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Case management, DMS, billing platform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5B2D8E"/>
                <w:sz w:val="20"/>
                <w:szCs w:val="20"/>
              </w:rPr>
              <w:t xml:space="preserve">Small Business</w:t>
            </w:r>
          </w:p>
        </w:tc>
        <w:tc>
          <w:tcPr>
            <w:tcW w:type="dxa" w:w="1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Customer data, financial records, employee data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Local / regional breach examples, FTC data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State privacy laws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POS system, accounting software, email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5B2D8E"/>
                <w:sz w:val="20"/>
                <w:szCs w:val="20"/>
              </w:rPr>
              <w:t xml:space="preserve">Higher Ed</w:t>
            </w:r>
          </w:p>
        </w:tc>
        <w:tc>
          <w:tcPr>
            <w:tcW w:type="dxa" w:w="1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Student records, research data, financial aid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MOVEit breach affected many universities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FERPA + HIPAA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Banner/Workday, LMS, student portal</w:t>
            </w:r>
          </w:p>
        </w:tc>
      </w:tr>
    </w:tbl>
    <w:p>
      <w:pPr>
        <w:spacing w:before="200" w:after="0"/>
      </w:pPr>
      <w:r>
        <w:t xml:space="preserve"/>
      </w:r>
    </w:p>
    <w:p>
      <w:pPr>
        <w:pStyle w:val="Heading1"/>
        <w:pBdr>
          <w:bottom w:val="single" w:color="5B2D8E" w:sz="6" w:space="1"/>
        </w:pBdr>
        <w:spacing w:before="320" w:after="160"/>
      </w:pPr>
      <w:r>
        <w:rPr>
          <w:rFonts w:ascii="Arial" w:cs="Arial" w:eastAsia="Arial" w:hAnsi="Arial"/>
          <w:b/>
          <w:bCs/>
          <w:color w:val="5B2D8E"/>
          <w:sz w:val="32"/>
          <w:szCs w:val="32"/>
        </w:rPr>
        <w:t xml:space="preserve">Part 5: Adapting the Red Team Trials</w:t>
      </w:r>
    </w:p>
    <w:p>
      <w:pPr>
        <w:spacing w:before="80" w:after="8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Each trial is designed to mimic something your staff actually receives. The mechanics are universal — what needs to change are the specific tools, names, and scenarios to match your environment.</w:t>
      </w:r>
    </w:p>
    <w:p>
      <w:pPr>
        <w:spacing w:before="80" w:after="0"/>
      </w:pPr>
      <w:r>
        <w:t xml:space="preserve"/>
      </w:r>
    </w:p>
    <w:p>
      <w:pPr>
        <w:pStyle w:val="Heading2"/>
        <w:spacing w:before="240" w:after="120"/>
      </w:pPr>
      <w:r>
        <w:rPr>
          <w:rFonts w:ascii="Arial" w:cs="Arial" w:eastAsia="Arial" w:hAnsi="Arial"/>
          <w:b/>
          <w:bCs/>
          <w:color w:val="5B2D8E"/>
          <w:sz w:val="26"/>
          <w:szCs w:val="26"/>
        </w:rPr>
        <w:t xml:space="preserve">The Poisoned Scroll (Email — Week 2)</w:t>
      </w:r>
    </w:p>
    <w:p>
      <w:pPr>
        <w:spacing w:before="80" w:after="8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Original: Fake student survey asking for teacher salaries and bank details.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/>
      </w:r>
      <w:r>
        <w:rPr>
          <w:rFonts w:ascii="Arial" w:cs="Arial" w:eastAsia="Arial" w:hAnsi="Arial"/>
          <w:b/>
          <w:bCs/>
          <w:color w:val="2D2D2D"/>
          <w:sz w:val="22"/>
          <w:szCs w:val="22"/>
        </w:rPr>
        <w:t xml:space="preserve">Healthcare:</w:t>
      </w:r>
      <w:r>
        <w:rPr>
          <w:rFonts w:ascii="Arial" w:cs="Arial" w:eastAsia="Arial" w:hAnsi="Arial"/>
          <w:color w:val="2D2D2D"/>
          <w:sz w:val="22"/>
          <w:szCs w:val="22"/>
        </w:rPr>
        <w:t xml:space="preserve"> Fake patient feedback request from unknown sender asking for staff scheduling info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/>
      </w:r>
      <w:r>
        <w:rPr>
          <w:rFonts w:ascii="Arial" w:cs="Arial" w:eastAsia="Arial" w:hAnsi="Arial"/>
          <w:b/>
          <w:bCs/>
          <w:color w:val="2D2D2D"/>
          <w:sz w:val="22"/>
          <w:szCs w:val="22"/>
        </w:rPr>
        <w:t xml:space="preserve">Nonprofit:</w:t>
      </w:r>
      <w:r>
        <w:rPr>
          <w:rFonts w:ascii="Arial" w:cs="Arial" w:eastAsia="Arial" w:hAnsi="Arial"/>
          <w:color w:val="2D2D2D"/>
          <w:sz w:val="22"/>
          <w:szCs w:val="22"/>
        </w:rPr>
        <w:t xml:space="preserve"> Fake grant opportunity email asking for org financial details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/>
      </w:r>
      <w:r>
        <w:rPr>
          <w:rFonts w:ascii="Arial" w:cs="Arial" w:eastAsia="Arial" w:hAnsi="Arial"/>
          <w:b/>
          <w:bCs/>
          <w:color w:val="2D2D2D"/>
          <w:sz w:val="22"/>
          <w:szCs w:val="22"/>
        </w:rPr>
        <w:t xml:space="preserve">Small Business:</w:t>
      </w:r>
      <w:r>
        <w:rPr>
          <w:rFonts w:ascii="Arial" w:cs="Arial" w:eastAsia="Arial" w:hAnsi="Arial"/>
          <w:color w:val="2D2D2D"/>
          <w:sz w:val="22"/>
          <w:szCs w:val="22"/>
        </w:rPr>
        <w:t xml:space="preserve"> Fake customer review request with suspicious link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/>
      </w:r>
      <w:r>
        <w:rPr>
          <w:rFonts w:ascii="Arial" w:cs="Arial" w:eastAsia="Arial" w:hAnsi="Arial"/>
          <w:b/>
          <w:bCs/>
          <w:color w:val="2D2D2D"/>
          <w:sz w:val="22"/>
          <w:szCs w:val="22"/>
        </w:rPr>
        <w:t xml:space="preserve">Universal principle:</w:t>
      </w:r>
      <w:r>
        <w:rPr>
          <w:rFonts w:ascii="Arial" w:cs="Arial" w:eastAsia="Arial" w:hAnsi="Arial"/>
          <w:color w:val="2D2D2D"/>
          <w:sz w:val="22"/>
          <w:szCs w:val="22"/>
        </w:rPr>
        <w:t xml:space="preserve"> Keep it plausible but slightly off. The goal is a teachable catch, not an impossible test.</w:t>
      </w:r>
    </w:p>
    <w:p>
      <w:pPr>
        <w:spacing w:before="80" w:after="0"/>
      </w:pPr>
      <w:r>
        <w:t xml:space="preserve"/>
      </w:r>
    </w:p>
    <w:p>
      <w:pPr>
        <w:pStyle w:val="Heading2"/>
        <w:spacing w:before="240" w:after="120"/>
      </w:pPr>
      <w:r>
        <w:rPr>
          <w:rFonts w:ascii="Arial" w:cs="Arial" w:eastAsia="Arial" w:hAnsi="Arial"/>
          <w:b/>
          <w:bCs/>
          <w:color w:val="5B2D8E"/>
          <w:sz w:val="26"/>
          <w:szCs w:val="26"/>
        </w:rPr>
        <w:t xml:space="preserve">The False Herald (Phone — Week 4)</w:t>
      </w:r>
    </w:p>
    <w:p>
      <w:pPr>
        <w:spacing w:before="80" w:after="8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Original: Caller claims to be acting on behalf of a principal to get information.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/>
      </w:r>
      <w:r>
        <w:rPr>
          <w:rFonts w:ascii="Arial" w:cs="Arial" w:eastAsia="Arial" w:hAnsi="Arial"/>
          <w:b/>
          <w:bCs/>
          <w:color w:val="2D2D2D"/>
          <w:sz w:val="22"/>
          <w:szCs w:val="22"/>
        </w:rPr>
        <w:t xml:space="preserve">Healthcare:</w:t>
      </w:r>
      <w:r>
        <w:rPr>
          <w:rFonts w:ascii="Arial" w:cs="Arial" w:eastAsia="Arial" w:hAnsi="Arial"/>
          <w:color w:val="2D2D2D"/>
          <w:sz w:val="22"/>
          <w:szCs w:val="22"/>
        </w:rPr>
        <w:t xml:space="preserve"> Caller claims to be from the EHR vendor needing to verify login credentials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/>
      </w:r>
      <w:r>
        <w:rPr>
          <w:rFonts w:ascii="Arial" w:cs="Arial" w:eastAsia="Arial" w:hAnsi="Arial"/>
          <w:b/>
          <w:bCs/>
          <w:color w:val="2D2D2D"/>
          <w:sz w:val="22"/>
          <w:szCs w:val="22"/>
        </w:rPr>
        <w:t xml:space="preserve">Nonprofit:</w:t>
      </w:r>
      <w:r>
        <w:rPr>
          <w:rFonts w:ascii="Arial" w:cs="Arial" w:eastAsia="Arial" w:hAnsi="Arial"/>
          <w:color w:val="2D2D2D"/>
          <w:sz w:val="22"/>
          <w:szCs w:val="22"/>
        </w:rPr>
        <w:t xml:space="preserve"> Caller claims to be a grant foundation contact asking for org details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/>
      </w:r>
      <w:r>
        <w:rPr>
          <w:rFonts w:ascii="Arial" w:cs="Arial" w:eastAsia="Arial" w:hAnsi="Arial"/>
          <w:b/>
          <w:bCs/>
          <w:color w:val="2D2D2D"/>
          <w:sz w:val="22"/>
          <w:szCs w:val="22"/>
        </w:rPr>
        <w:t xml:space="preserve">Universal principle:</w:t>
      </w:r>
      <w:r>
        <w:rPr>
          <w:rFonts w:ascii="Arial" w:cs="Arial" w:eastAsia="Arial" w:hAnsi="Arial"/>
          <w:color w:val="2D2D2D"/>
          <w:sz w:val="22"/>
          <w:szCs w:val="22"/>
        </w:rPr>
        <w:t xml:space="preserve"> The caller needs something that requires verification. Front desk / reception is the target. The test is whether they verify before disclosing.</w:t>
      </w:r>
    </w:p>
    <w:p>
      <w:pPr>
        <w:spacing w:before="80" w:after="0"/>
      </w:pPr>
      <w:r>
        <w:t xml:space="preserve"/>
      </w:r>
    </w:p>
    <w:p>
      <w:pPr>
        <w:pStyle w:val="Heading2"/>
        <w:spacing w:before="240" w:after="120"/>
      </w:pPr>
      <w:r>
        <w:rPr>
          <w:rFonts w:ascii="Arial" w:cs="Arial" w:eastAsia="Arial" w:hAnsi="Arial"/>
          <w:b/>
          <w:bCs/>
          <w:color w:val="5B2D8E"/>
          <w:sz w:val="26"/>
          <w:szCs w:val="26"/>
        </w:rPr>
        <w:t xml:space="preserve">Voice of the Shapeshifter (Phone — Week 7)</w:t>
      </w:r>
    </w:p>
    <w:p>
      <w:pPr>
        <w:spacing w:before="80" w:after="8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Original: Impersonation of Kickboard vendor support requesting login credentials.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Replace Kickboard with whatever vendor your staff gets legitimate support calls from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The script works for any vendor — just update the tool name and the 'system upgrade' framing</w:t>
      </w:r>
    </w:p>
    <w:p>
      <w:pPr>
        <w:spacing w:before="80" w:after="0"/>
      </w:pPr>
      <w:r>
        <w:t xml:space="preserve"/>
      </w:r>
    </w:p>
    <w:p>
      <w:pPr>
        <w:pStyle w:val="Heading2"/>
        <w:spacing w:before="240" w:after="120"/>
      </w:pPr>
      <w:r>
        <w:rPr>
          <w:rFonts w:ascii="Arial" w:cs="Arial" w:eastAsia="Arial" w:hAnsi="Arial"/>
          <w:b/>
          <w:bCs/>
          <w:color w:val="5B2D8E"/>
          <w:sz w:val="26"/>
          <w:szCs w:val="26"/>
        </w:rPr>
        <w:t xml:space="preserve">The Final Stand Scenario</w:t>
      </w:r>
    </w:p>
    <w:p>
      <w:pPr>
        <w:spacing w:before="80" w:after="8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Original: Ransomware attack on a K-12 school, SIS offline, ransom note on desktop.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/>
      </w:r>
      <w:r>
        <w:rPr>
          <w:rFonts w:ascii="Arial" w:cs="Arial" w:eastAsia="Arial" w:hAnsi="Arial"/>
          <w:b/>
          <w:bCs/>
          <w:color w:val="2D2D2D"/>
          <w:sz w:val="22"/>
          <w:szCs w:val="22"/>
        </w:rPr>
        <w:t xml:space="preserve">Healthcare:</w:t>
      </w:r>
      <w:r>
        <w:rPr>
          <w:rFonts w:ascii="Arial" w:cs="Arial" w:eastAsia="Arial" w:hAnsi="Arial"/>
          <w:color w:val="2D2D2D"/>
          <w:sz w:val="22"/>
          <w:szCs w:val="22"/>
        </w:rPr>
        <w:t xml:space="preserve"> Ransomware hits the EHR system. Patient records inaccessible. Appointments can't be confirmed.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/>
      </w:r>
      <w:r>
        <w:rPr>
          <w:rFonts w:ascii="Arial" w:cs="Arial" w:eastAsia="Arial" w:hAnsi="Arial"/>
          <w:b/>
          <w:bCs/>
          <w:color w:val="2D2D2D"/>
          <w:sz w:val="22"/>
          <w:szCs w:val="22"/>
        </w:rPr>
        <w:t xml:space="preserve">Nonprofit:</w:t>
      </w:r>
      <w:r>
        <w:rPr>
          <w:rFonts w:ascii="Arial" w:cs="Arial" w:eastAsia="Arial" w:hAnsi="Arial"/>
          <w:color w:val="2D2D2D"/>
          <w:sz w:val="22"/>
          <w:szCs w:val="22"/>
        </w:rPr>
        <w:t xml:space="preserve"> Ransomware hits the donor database. Fundraising platform offline mid-campaign.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/>
      </w:r>
      <w:r>
        <w:rPr>
          <w:rFonts w:ascii="Arial" w:cs="Arial" w:eastAsia="Arial" w:hAnsi="Arial"/>
          <w:b/>
          <w:bCs/>
          <w:color w:val="2D2D2D"/>
          <w:sz w:val="22"/>
          <w:szCs w:val="22"/>
        </w:rPr>
        <w:t xml:space="preserve">Universal principle:</w:t>
      </w:r>
      <w:r>
        <w:rPr>
          <w:rFonts w:ascii="Arial" w:cs="Arial" w:eastAsia="Arial" w:hAnsi="Arial"/>
          <w:color w:val="2D2D2D"/>
          <w:sz w:val="22"/>
          <w:szCs w:val="22"/>
        </w:rPr>
        <w:t xml:space="preserve"> The scenario needs to involve your most critical system going offline with potential data exposure. Replace the SIS with whatever that is for you.</w:t>
      </w:r>
    </w:p>
    <w:p>
      <w:pPr>
        <w:spacing w:before="200" w:after="0"/>
      </w:pPr>
      <w:r>
        <w:t xml:space="preserve"/>
      </w:r>
    </w:p>
    <w:p>
      <w:pPr>
        <w:pStyle w:val="Heading1"/>
        <w:pBdr>
          <w:bottom w:val="single" w:color="5B2D8E" w:sz="6" w:space="1"/>
        </w:pBdr>
        <w:spacing w:before="320" w:after="160"/>
      </w:pPr>
      <w:r>
        <w:rPr>
          <w:rFonts w:ascii="Arial" w:cs="Arial" w:eastAsia="Arial" w:hAnsi="Arial"/>
          <w:b/>
          <w:bCs/>
          <w:color w:val="5B2D8E"/>
          <w:sz w:val="32"/>
          <w:szCs w:val="32"/>
        </w:rPr>
        <w:t xml:space="preserve">Part 6: What NOT to Change</w:t>
      </w:r>
    </w:p>
    <w:p>
      <w:pPr>
        <w:spacing w:before="80" w:after="8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Some things should stay exactly as they are, regardless of your industry:</w:t>
      </w:r>
    </w:p>
    <w:p>
      <w:pPr>
        <w:spacing w:before="80" w:after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"/>
        <w:gridCol w:w="9060"/>
      </w:tblGrid>
      <w:tr>
        <w:tc>
          <w:tcPr>
            <w:tcW w:type="dxa" w:w="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E8449" w:val="clear"/>
            <w:tcMar>
              <w:top w:type="dxa" w:w="80"/>
              <w:bottom w:type="dxa" w:w="80"/>
            </w:tcMar>
          </w:tcPr>
          <w:p>
            <w:pPr>
              <w:spacing w:before="80" w:after="80"/>
            </w:pPr>
            <w:r>
              <w:rPr>
                <w:rFonts w:ascii="Arial" w:cs="Arial" w:eastAsia="Arial" w:hAnsi="Arial"/>
                <w:color w:val="2D2D2D"/>
                <w:sz w:val="22"/>
                <w:szCs w:val="22"/>
              </w:rPr>
              <w:t xml:space="preserve"/>
            </w:r>
          </w:p>
        </w:tc>
        <w:tc>
          <w:tcPr>
            <w:tcW w:type="dxa" w:w="90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AFAF1" w:val="clear"/>
            <w:tcMar>
              <w:top w:type="dxa" w:w="120"/>
              <w:bottom w:type="dxa" w:w="120"/>
            </w:tcMar>
          </w:tcPr>
          <w:p>
            <w:pPr>
              <w:spacing w:before="0" w:after="60"/>
            </w:pPr>
            <w:r>
              <w:rPr>
                <w:rFonts w:ascii="Arial" w:cs="Arial" w:eastAsia="Arial" w:hAnsi="Arial"/>
                <w:b/>
                <w:bCs/>
                <w:color w:val="1E8449"/>
                <w:sz w:val="22"/>
                <w:szCs w:val="22"/>
              </w:rPr>
              <w:t xml:space="preserve">KEEP THESE UNCHANGED</w:t>
            </w:r>
          </w:p>
          <w:p>
            <w:pPr>
              <w:spacing w:before="0" w:after="0"/>
            </w:pPr>
            <w:r>
              <w:rPr>
                <w:rFonts w:ascii="Arial" w:cs="Arial" w:eastAsia="Arial" w:hAnsi="Arial"/>
                <w:color w:val="2D2D2D"/>
                <w:sz w:val="22"/>
                <w:szCs w:val="22"/>
              </w:rPr>
              <w:t xml:space="preserve">The XP and rank system. The voluntary participation model. The 'no fear-based testing' rule. The peer influence structure. The 12-week arc. The design principles. These are the mechanics that make the program work — they're not K-12-specific.</w:t>
            </w:r>
          </w:p>
        </w:tc>
      </w:tr>
    </w:tbl>
    <w:p>
      <w:pPr>
        <w:spacing w:before="120" w:after="0"/>
      </w:pPr>
      <w:r>
        <w:t xml:space="preserve"/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/>
      </w:r>
      <w:r>
        <w:rPr>
          <w:rFonts w:ascii="Arial" w:cs="Arial" w:eastAsia="Arial" w:hAnsi="Arial"/>
          <w:b/>
          <w:bCs/>
          <w:color w:val="2D2D2D"/>
          <w:sz w:val="22"/>
          <w:szCs w:val="22"/>
        </w:rPr>
        <w:t xml:space="preserve">Don't remove the RPG framing.</w:t>
      </w:r>
      <w:r>
        <w:rPr>
          <w:rFonts w:ascii="Arial" w:cs="Arial" w:eastAsia="Arial" w:hAnsi="Arial"/>
          <w:color w:val="2D2D2D"/>
          <w:sz w:val="22"/>
          <w:szCs w:val="22"/>
        </w:rPr>
        <w:t xml:space="preserve"> The quest/XP/rank language reduces defensiveness and makes security approachable. It works in non-school environments too — if anything, adults in corporate settings respond to it even more because it's unexpected.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/>
      </w:r>
      <w:r>
        <w:rPr>
          <w:rFonts w:ascii="Arial" w:cs="Arial" w:eastAsia="Arial" w:hAnsi="Arial"/>
          <w:b/>
          <w:bCs/>
          <w:color w:val="2D2D2D"/>
          <w:sz w:val="22"/>
          <w:szCs w:val="22"/>
        </w:rPr>
        <w:t xml:space="preserve">Don't make trials fear-based.</w:t>
      </w:r>
      <w:r>
        <w:rPr>
          <w:rFonts w:ascii="Arial" w:cs="Arial" w:eastAsia="Arial" w:hAnsi="Arial"/>
          <w:color w:val="2D2D2D"/>
          <w:sz w:val="22"/>
          <w:szCs w:val="22"/>
        </w:rPr>
        <w:t xml:space="preserve"> The no-threat, no-emergency rule applies regardless of industry. Curiosity and helpfulness are the attack vectors — not urgency and fear.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/>
      </w:r>
      <w:r>
        <w:rPr>
          <w:rFonts w:ascii="Arial" w:cs="Arial" w:eastAsia="Arial" w:hAnsi="Arial"/>
          <w:b/>
          <w:bCs/>
          <w:color w:val="2D2D2D"/>
          <w:sz w:val="22"/>
          <w:szCs w:val="22"/>
        </w:rPr>
        <w:t xml:space="preserve">Don't make participation mandatory.</w:t>
      </w:r>
      <w:r>
        <w:rPr>
          <w:rFonts w:ascii="Arial" w:cs="Arial" w:eastAsia="Arial" w:hAnsi="Arial"/>
          <w:color w:val="2D2D2D"/>
          <w:sz w:val="22"/>
          <w:szCs w:val="22"/>
        </w:rPr>
        <w:t xml:space="preserve"> The program depends on voluntary engagement. Mandating it destroys the peer influence mechanism that makes it work.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/>
      </w:r>
      <w:r>
        <w:rPr>
          <w:rFonts w:ascii="Arial" w:cs="Arial" w:eastAsia="Arial" w:hAnsi="Arial"/>
          <w:b/>
          <w:bCs/>
          <w:color w:val="2D2D2D"/>
          <w:sz w:val="22"/>
          <w:szCs w:val="22"/>
        </w:rPr>
        <w:t xml:space="preserve">Don't skip Session Zero.</w:t>
      </w:r>
      <w:r>
        <w:rPr>
          <w:rFonts w:ascii="Arial" w:cs="Arial" w:eastAsia="Arial" w:hAnsi="Arial"/>
          <w:color w:val="2D2D2D"/>
          <w:sz w:val="22"/>
          <w:szCs w:val="22"/>
        </w:rPr>
        <w:t xml:space="preserve"> The kickoff meeting does something emails can't: it makes champions feel chosen, not assigned. That psychological distinction matters for the full 12 weeks.</w:t>
      </w:r>
    </w:p>
    <w:p>
      <w:pPr>
        <w:spacing w:before="200" w:after="0"/>
      </w:pPr>
      <w:r>
        <w:t xml:space="preserve"/>
      </w:r>
    </w:p>
    <w:p>
      <w:pPr>
        <w:pStyle w:val="Heading1"/>
        <w:pBdr>
          <w:bottom w:val="single" w:color="5B2D8E" w:sz="6" w:space="1"/>
        </w:pBdr>
        <w:spacing w:before="320" w:after="160"/>
      </w:pPr>
      <w:r>
        <w:rPr>
          <w:rFonts w:ascii="Arial" w:cs="Arial" w:eastAsia="Arial" w:hAnsi="Arial"/>
          <w:b/>
          <w:bCs/>
          <w:color w:val="5B2D8E"/>
          <w:sz w:val="32"/>
          <w:szCs w:val="32"/>
        </w:rPr>
        <w:t xml:space="preserve">Part 7: Customization Checklist</w:t>
      </w:r>
    </w:p>
    <w:p>
      <w:pPr>
        <w:spacing w:before="80" w:after="8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Use this before launching the program. Check each item once you've made the change.</w:t>
      </w:r>
    </w:p>
    <w:p>
      <w:pPr>
        <w:spacing w:before="80" w:after="0"/>
      </w:pPr>
      <w:r>
        <w:t xml:space="preserve"/>
      </w:r>
    </w:p>
    <w:p>
      <w:pPr>
        <w:pStyle w:val="Heading2"/>
        <w:spacing w:before="240" w:after="120"/>
      </w:pPr>
      <w:r>
        <w:rPr>
          <w:rFonts w:ascii="Arial" w:cs="Arial" w:eastAsia="Arial" w:hAnsi="Arial"/>
          <w:b/>
          <w:bCs/>
          <w:color w:val="5B2D8E"/>
          <w:sz w:val="26"/>
          <w:szCs w:val="26"/>
        </w:rPr>
        <w:t xml:space="preserve">Required Before Any Outreach</w:t>
      </w:r>
    </w:p>
    <w:p>
      <w:pPr>
        <w:pStyle w:val="ListParagraph"/>
        <w:numPr>
          <w:ilvl w:val="0"/>
          <w:numId w:val="3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Leadership Pitch updated with org name, sensitive data type, and relevant breach examples</w:t>
      </w:r>
    </w:p>
    <w:p>
      <w:pPr>
        <w:pStyle w:val="ListParagraph"/>
        <w:numPr>
          <w:ilvl w:val="0"/>
          <w:numId w:val="3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Session Zero Script updated with org name, applicable regulation, and your breach examples</w:t>
      </w:r>
    </w:p>
    <w:p>
      <w:pPr>
        <w:pStyle w:val="ListParagraph"/>
        <w:numPr>
          <w:ilvl w:val="0"/>
          <w:numId w:val="3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Guild Master Email Templates updated with your name and title throughout</w:t>
      </w:r>
    </w:p>
    <w:p>
      <w:pPr>
        <w:pStyle w:val="ListParagraph"/>
        <w:numPr>
          <w:ilvl w:val="0"/>
          <w:numId w:val="3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Defenders Codex updated with your contact info as Guild Master</w:t>
      </w:r>
    </w:p>
    <w:p>
      <w:pPr>
        <w:spacing w:before="80" w:after="0"/>
      </w:pPr>
      <w:r>
        <w:t xml:space="preserve"/>
      </w:r>
    </w:p>
    <w:p>
      <w:pPr>
        <w:pStyle w:val="Heading2"/>
        <w:spacing w:before="240" w:after="120"/>
      </w:pPr>
      <w:r>
        <w:rPr>
          <w:rFonts w:ascii="Arial" w:cs="Arial" w:eastAsia="Arial" w:hAnsi="Arial"/>
          <w:b/>
          <w:bCs/>
          <w:color w:val="5B2D8E"/>
          <w:sz w:val="26"/>
          <w:szCs w:val="26"/>
        </w:rPr>
        <w:t xml:space="preserve">Required Before Trials Launch</w:t>
      </w:r>
    </w:p>
    <w:p>
      <w:pPr>
        <w:pStyle w:val="ListParagraph"/>
        <w:numPr>
          <w:ilvl w:val="0"/>
          <w:numId w:val="3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All red team email templates updated with your org's tool names (not Hapara/Kickboard/Paylocity)</w:t>
      </w:r>
    </w:p>
    <w:p>
      <w:pPr>
        <w:pStyle w:val="ListParagraph"/>
        <w:numPr>
          <w:ilvl w:val="0"/>
          <w:numId w:val="3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Phishing email domains updated to use your real org domain (for spoofing) and a believable fake</w:t>
      </w:r>
    </w:p>
    <w:p>
      <w:pPr>
        <w:pStyle w:val="ListParagraph"/>
        <w:numPr>
          <w:ilvl w:val="0"/>
          <w:numId w:val="3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Phone trial scripts updated with your org's vendor names</w:t>
      </w:r>
    </w:p>
    <w:p>
      <w:pPr>
        <w:pStyle w:val="ListParagraph"/>
        <w:numPr>
          <w:ilvl w:val="0"/>
          <w:numId w:val="3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USB drive label updated to reflect something plausible at your org (not 'Staff Photos 2025' if that's not a thing there)</w:t>
      </w:r>
    </w:p>
    <w:p>
      <w:pPr>
        <w:spacing w:before="80" w:after="0"/>
      </w:pPr>
      <w:r>
        <w:t xml:space="preserve"/>
      </w:r>
    </w:p>
    <w:p>
      <w:pPr>
        <w:pStyle w:val="Heading2"/>
        <w:spacing w:before="240" w:after="120"/>
      </w:pPr>
      <w:r>
        <w:rPr>
          <w:rFonts w:ascii="Arial" w:cs="Arial" w:eastAsia="Arial" w:hAnsi="Arial"/>
          <w:b/>
          <w:bCs/>
          <w:color w:val="5B2D8E"/>
          <w:sz w:val="26"/>
          <w:szCs w:val="26"/>
        </w:rPr>
        <w:t xml:space="preserve">Recommended Before Public Sharing</w:t>
      </w:r>
    </w:p>
    <w:p>
      <w:pPr>
        <w:pStyle w:val="ListParagraph"/>
        <w:numPr>
          <w:ilvl w:val="0"/>
          <w:numId w:val="3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Campaign Overview updated with org name (or make it generic if sharing externally)</w:t>
      </w:r>
    </w:p>
    <w:p>
      <w:pPr>
        <w:pStyle w:val="ListParagraph"/>
        <w:numPr>
          <w:ilvl w:val="0"/>
          <w:numId w:val="3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Weekly Quest Packs scanned for school-specific language — adapt any that reference students, classrooms, or FERPA</w:t>
      </w:r>
    </w:p>
    <w:p>
      <w:pPr>
        <w:pStyle w:val="ListParagraph"/>
        <w:numPr>
          <w:ilvl w:val="0"/>
          <w:numId w:val="3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Final Stand scenario updated if your critical system is significantly different from an SIS</w:t>
      </w:r>
    </w:p>
    <w:p>
      <w:pPr>
        <w:pStyle w:val="ListParagraph"/>
        <w:numPr>
          <w:ilvl w:val="0"/>
          <w:numId w:val="3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End-of-Program Report template updated with org name and dates</w:t>
      </w:r>
    </w:p>
    <w:p>
      <w:pPr>
        <w:spacing w:before="200" w:after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"/>
        <w:gridCol w:w="9060"/>
      </w:tblGrid>
      <w:tr>
        <w:tc>
          <w:tcPr>
            <w:tcW w:type="dxa" w:w="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5B2D8E" w:val="clear"/>
            <w:tcMar>
              <w:top w:type="dxa" w:w="80"/>
              <w:bottom w:type="dxa" w:w="80"/>
            </w:tcMar>
          </w:tcPr>
          <w:p>
            <w:pPr>
              <w:spacing w:before="80" w:after="80"/>
            </w:pPr>
            <w:r>
              <w:rPr>
                <w:rFonts w:ascii="Arial" w:cs="Arial" w:eastAsia="Arial" w:hAnsi="Arial"/>
                <w:color w:val="2D2D2D"/>
                <w:sz w:val="22"/>
                <w:szCs w:val="22"/>
              </w:rPr>
              <w:t xml:space="preserve"/>
            </w:r>
          </w:p>
        </w:tc>
        <w:tc>
          <w:tcPr>
            <w:tcW w:type="dxa" w:w="90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DE7F6" w:val="clear"/>
            <w:tcMar>
              <w:top w:type="dxa" w:w="120"/>
              <w:bottom w:type="dxa" w:w="120"/>
            </w:tcMar>
          </w:tcPr>
          <w:p>
            <w:pPr>
              <w:spacing w:before="0" w:after="60"/>
            </w:pPr>
            <w:r>
              <w:rPr>
                <w:rFonts w:ascii="Arial" w:cs="Arial" w:eastAsia="Arial" w:hAnsi="Arial"/>
                <w:b/>
                <w:bCs/>
                <w:color w:val="5B2D8E"/>
                <w:sz w:val="22"/>
                <w:szCs w:val="22"/>
              </w:rPr>
              <w:t xml:space="preserve">A NOTE ON THE CC BY 4.0 LICENSE</w:t>
            </w:r>
          </w:p>
          <w:p>
            <w:pPr>
              <w:spacing w:before="0" w:after="0"/>
            </w:pPr>
            <w:r>
              <w:rPr>
                <w:rFonts w:ascii="Arial" w:cs="Arial" w:eastAsia="Arial" w:hAnsi="Arial"/>
                <w:color w:val="2D2D2D"/>
                <w:sz w:val="22"/>
                <w:szCs w:val="22"/>
              </w:rPr>
              <w:t xml:space="preserve">You're free to adapt every document in this toolkit for your organization and share your adapted version with others — as long as you keep the 'adapted from The Security Guild by [Your Name], lizgore.com' attribution. You don't need to ask permission. Just credit the source.</w:t>
            </w:r>
          </w:p>
        </w:tc>
      </w:tr>
    </w:tbl>
    <w:p>
      <w:pPr>
        <w:spacing w:before="200" w:after="0"/>
      </w:pPr>
      <w:r>
        <w:t xml:space="preserve"/>
      </w:r>
    </w:p>
    <w:p>
      <w:pPr>
        <w:spacing w:before="80" w:after="0"/>
      </w:pPr>
      <w:r>
        <w:rPr>
          <w:rFonts w:ascii="Arial" w:cs="Arial" w:eastAsia="Arial" w:hAnsi="Arial"/>
          <w:color w:val="555555"/>
          <w:sz w:val="18"/>
          <w:szCs w:val="18"/>
        </w:rPr>
        <w:t xml:space="preserve">The Security Guild  •  lizgore.com  •  CC BY 4.0  •  Roll for initiative. 🎲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◦"/>
      <w:lvlJc w:val="left"/>
      <w:pPr>
        <w:ind w:left="1080" w:hanging="36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5" w15:restartNumberingAfterBreak="0">
    <w:multiLevelType w:val="hybridMultilevel"/>
    <w:lvl w:ilvl="0" w15:tentative="1">
      <w:start w:val="1"/>
      <w:numFmt w:val="bullet"/>
      <w:lvlText w:val="☐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5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before="320" w:after="160"/>
      <w:outlineLvl w:val="0"/>
    </w:pPr>
    <w:rPr>
      <w:rFonts w:ascii="Arial" w:cs="Arial" w:eastAsia="Arial" w:hAnsi="Arial"/>
      <w:b/>
      <w:bCs/>
      <w:color w:val="5B2D8E"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240" w:after="120"/>
      <w:outlineLvl w:val="1"/>
    </w:pPr>
    <w:rPr>
      <w:rFonts w:ascii="Arial" w:cs="Arial" w:eastAsia="Arial" w:hAnsi="Arial"/>
      <w:b/>
      <w:bCs/>
      <w:color w:val="5B2D8E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2026-03-04T18:47:10.179Z</dcterms:created>
  <dcterms:modified xsi:type="dcterms:W3CDTF">2026-03-04T18:47:10.179Z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